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159" w:leftChars="200" w:hanging="739" w:hangingChars="230"/>
        <w:jc w:val="center"/>
        <w:rPr>
          <w:rFonts w:hint="eastAsia" w:ascii="宋体" w:hAnsi="宋体" w:eastAsia="宋体" w:cs="Arial"/>
          <w:b/>
          <w:sz w:val="32"/>
          <w:szCs w:val="32"/>
          <w:lang w:eastAsia="zh-CN"/>
        </w:rPr>
      </w:pPr>
      <w:r>
        <w:rPr>
          <w:rFonts w:hint="eastAsia" w:ascii="宋体" w:hAnsi="宋体" w:cs="Arial"/>
          <w:b/>
          <w:sz w:val="32"/>
          <w:szCs w:val="32"/>
          <w:lang w:eastAsia="zh-CN"/>
        </w:rPr>
        <w:t>附件</w:t>
      </w:r>
      <w:r>
        <w:rPr>
          <w:rFonts w:hint="eastAsia" w:ascii="宋体" w:hAnsi="宋体" w:cs="Arial"/>
          <w:b/>
          <w:sz w:val="32"/>
          <w:szCs w:val="32"/>
          <w:lang w:val="en-US" w:eastAsia="zh-CN"/>
        </w:rPr>
        <w:t>2：购买政务网络与信息安全服务项目</w:t>
      </w:r>
      <w:r>
        <w:rPr>
          <w:rFonts w:ascii="宋体" w:hAnsi="宋体" w:cs="Arial"/>
          <w:b/>
          <w:sz w:val="32"/>
          <w:szCs w:val="32"/>
        </w:rPr>
        <w:t>技术、商务及价格</w:t>
      </w:r>
      <w:r>
        <w:rPr>
          <w:rFonts w:hint="eastAsia" w:ascii="宋体" w:hAnsi="宋体" w:cs="Arial"/>
          <w:b/>
          <w:sz w:val="32"/>
          <w:szCs w:val="32"/>
          <w:lang w:eastAsia="zh-CN"/>
        </w:rPr>
        <w:t>评分标准</w:t>
      </w:r>
    </w:p>
    <w:p>
      <w:pPr>
        <w:tabs>
          <w:tab w:val="left" w:pos="851"/>
        </w:tabs>
        <w:autoSpaceDE w:val="0"/>
        <w:autoSpaceDN w:val="0"/>
        <w:adjustRightInd w:val="0"/>
        <w:snapToGrid w:val="0"/>
        <w:spacing w:line="360" w:lineRule="auto"/>
        <w:ind w:firstLine="480" w:firstLineChars="200"/>
        <w:rPr>
          <w:rFonts w:ascii="宋体" w:hAnsi="宋体" w:cs="Arial"/>
          <w:sz w:val="24"/>
        </w:rPr>
      </w:pPr>
      <w:r>
        <w:rPr>
          <w:rFonts w:hint="eastAsia" w:ascii="宋体" w:hAnsi="宋体" w:cs="Arial"/>
          <w:sz w:val="24"/>
        </w:rPr>
        <w:t>1.</w:t>
      </w:r>
      <w:r>
        <w:rPr>
          <w:rFonts w:ascii="宋体" w:hAnsi="宋体" w:cs="Arial"/>
          <w:sz w:val="24"/>
        </w:rPr>
        <w:t>评分总值最高为100分，评分分值（权重）分配如下：</w:t>
      </w:r>
    </w:p>
    <w:tbl>
      <w:tblPr>
        <w:tblStyle w:val="6"/>
        <w:tblW w:w="9506" w:type="dxa"/>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2418"/>
        <w:gridCol w:w="4678"/>
        <w:gridCol w:w="2410"/>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2418"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ascii="Arial" w:hAnsi="Arial" w:cs="Arial"/>
                <w:sz w:val="24"/>
              </w:rPr>
            </w:pPr>
            <w:r>
              <w:rPr>
                <w:rFonts w:ascii="Arial" w:cs="Arial"/>
              </w:rPr>
              <w:t>评分项目</w:t>
            </w:r>
          </w:p>
        </w:tc>
        <w:tc>
          <w:tcPr>
            <w:tcW w:w="4678"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ascii="Arial" w:hAnsi="Arial" w:cs="Arial"/>
                <w:sz w:val="24"/>
              </w:rPr>
            </w:pPr>
            <w:r>
              <w:rPr>
                <w:rFonts w:hint="eastAsia" w:ascii="Arial" w:cs="Arial"/>
              </w:rPr>
              <w:t>商务、</w:t>
            </w:r>
            <w:r>
              <w:rPr>
                <w:rFonts w:ascii="Arial" w:cs="Arial"/>
              </w:rPr>
              <w:t>技术部分权重</w:t>
            </w:r>
          </w:p>
        </w:tc>
        <w:tc>
          <w:tcPr>
            <w:tcW w:w="2410"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ascii="Arial" w:hAnsi="Arial" w:cs="Arial"/>
                <w:sz w:val="24"/>
              </w:rPr>
            </w:pPr>
            <w:r>
              <w:rPr>
                <w:rFonts w:ascii="Arial" w:cs="Arial"/>
              </w:rPr>
              <w:t>价格部分权重</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2418"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hint="eastAsia" w:ascii="Arial" w:hAnsi="Arial" w:cs="Arial"/>
                <w:sz w:val="24"/>
              </w:rPr>
            </w:pPr>
            <w:r>
              <w:rPr>
                <w:rFonts w:hint="eastAsia" w:ascii="Arial" w:cs="Arial"/>
              </w:rPr>
              <w:t>分值</w:t>
            </w:r>
          </w:p>
        </w:tc>
        <w:tc>
          <w:tcPr>
            <w:tcW w:w="4678"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hint="eastAsia" w:ascii="Arial" w:hAnsi="Arial" w:cs="Arial"/>
                <w:sz w:val="24"/>
              </w:rPr>
            </w:pPr>
            <w:r>
              <w:rPr>
                <w:rFonts w:hint="eastAsia" w:ascii="Arial" w:hAnsi="Arial" w:cs="Arial"/>
              </w:rPr>
              <w:t>90</w:t>
            </w:r>
          </w:p>
        </w:tc>
        <w:tc>
          <w:tcPr>
            <w:tcW w:w="2410" w:type="dxa"/>
            <w:tcBorders>
              <w:top w:val="outset" w:color="111111" w:sz="6" w:space="0"/>
              <w:left w:val="outset" w:color="111111" w:sz="6" w:space="0"/>
              <w:bottom w:val="outset" w:color="111111" w:sz="6" w:space="0"/>
              <w:right w:val="outset" w:color="111111" w:sz="6" w:space="0"/>
            </w:tcBorders>
            <w:noWrap w:val="0"/>
            <w:vAlign w:val="center"/>
          </w:tcPr>
          <w:p>
            <w:pPr>
              <w:jc w:val="center"/>
              <w:rPr>
                <w:rFonts w:hint="eastAsia" w:ascii="Arial" w:hAnsi="Arial" w:cs="Arial"/>
                <w:sz w:val="24"/>
              </w:rPr>
            </w:pPr>
            <w:r>
              <w:rPr>
                <w:rFonts w:hint="eastAsia" w:ascii="Arial" w:hAnsi="Arial" w:cs="Arial"/>
              </w:rPr>
              <w:t>10</w:t>
            </w:r>
          </w:p>
        </w:tc>
      </w:tr>
    </w:tbl>
    <w:p>
      <w:pPr>
        <w:tabs>
          <w:tab w:val="left" w:pos="851"/>
        </w:tabs>
        <w:autoSpaceDE w:val="0"/>
        <w:autoSpaceDN w:val="0"/>
        <w:adjustRightInd w:val="0"/>
        <w:snapToGrid w:val="0"/>
        <w:spacing w:before="240" w:beforeLines="100" w:line="360" w:lineRule="auto"/>
        <w:ind w:firstLine="480" w:firstLineChars="200"/>
        <w:rPr>
          <w:rFonts w:ascii="宋体" w:hAnsi="宋体" w:cs="Arial"/>
          <w:sz w:val="24"/>
        </w:rPr>
      </w:pPr>
      <w:r>
        <w:rPr>
          <w:rFonts w:hint="eastAsia" w:ascii="宋体" w:hAnsi="宋体" w:cs="Arial"/>
          <w:sz w:val="24"/>
        </w:rPr>
        <w:t>2.</w:t>
      </w:r>
      <w:r>
        <w:rPr>
          <w:rFonts w:ascii="宋体" w:hAnsi="宋体" w:cs="Arial"/>
          <w:sz w:val="24"/>
        </w:rPr>
        <w:t>商务</w:t>
      </w:r>
      <w:r>
        <w:rPr>
          <w:rFonts w:hint="eastAsia" w:ascii="宋体" w:hAnsi="宋体" w:cs="Arial"/>
          <w:sz w:val="24"/>
        </w:rPr>
        <w:t>、</w:t>
      </w:r>
      <w:r>
        <w:rPr>
          <w:rFonts w:ascii="宋体" w:hAnsi="宋体" w:cs="Arial"/>
          <w:sz w:val="24"/>
        </w:rPr>
        <w:t>技术</w:t>
      </w:r>
      <w:r>
        <w:rPr>
          <w:rFonts w:hint="eastAsia" w:ascii="宋体" w:hAnsi="宋体" w:cs="Arial"/>
          <w:sz w:val="24"/>
        </w:rPr>
        <w:t>、</w:t>
      </w:r>
      <w:r>
        <w:rPr>
          <w:rFonts w:ascii="宋体" w:hAnsi="宋体" w:cs="Arial"/>
          <w:sz w:val="24"/>
        </w:rPr>
        <w:t>价格部分评审</w:t>
      </w:r>
    </w:p>
    <w:p>
      <w:pPr>
        <w:tabs>
          <w:tab w:val="left" w:pos="851"/>
        </w:tabs>
        <w:spacing w:line="400" w:lineRule="exact"/>
        <w:jc w:val="left"/>
        <w:rPr>
          <w:rFonts w:hint="eastAsia" w:ascii="宋体" w:hAnsi="宋体" w:cs="仿宋"/>
          <w:b/>
          <w:color w:val="000000"/>
          <w:szCs w:val="21"/>
        </w:rPr>
      </w:pPr>
      <w:r>
        <w:rPr>
          <w:rFonts w:hint="eastAsia" w:ascii="宋体" w:hAnsi="宋体" w:cs="仿宋"/>
          <w:b/>
          <w:color w:val="000000"/>
          <w:szCs w:val="21"/>
        </w:rPr>
        <w:t>附表一：资格性和符合性审查表</w:t>
      </w:r>
    </w:p>
    <w:p>
      <w:pPr>
        <w:spacing w:line="400" w:lineRule="exact"/>
        <w:jc w:val="center"/>
        <w:rPr>
          <w:rFonts w:hint="eastAsia" w:ascii="宋体" w:hAnsi="宋体" w:cs="仿宋"/>
          <w:b/>
          <w:color w:val="000000"/>
          <w:szCs w:val="21"/>
        </w:rPr>
      </w:pPr>
      <w:r>
        <w:rPr>
          <w:rFonts w:hint="eastAsia" w:ascii="宋体" w:hAnsi="宋体" w:cs="仿宋"/>
          <w:b/>
          <w:color w:val="000000"/>
          <w:szCs w:val="21"/>
        </w:rPr>
        <w:t>资格性和符合性审查表</w:t>
      </w:r>
    </w:p>
    <w:tbl>
      <w:tblPr>
        <w:tblStyle w:val="6"/>
        <w:tblW w:w="0" w:type="auto"/>
        <w:jc w:val="center"/>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Layout w:type="fixed"/>
        <w:tblCellMar>
          <w:top w:w="150" w:type="dxa"/>
          <w:left w:w="150" w:type="dxa"/>
          <w:bottom w:w="150" w:type="dxa"/>
          <w:right w:w="150" w:type="dxa"/>
        </w:tblCellMar>
      </w:tblPr>
      <w:tblGrid>
        <w:gridCol w:w="1387"/>
        <w:gridCol w:w="7700"/>
      </w:tblGrid>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300" w:hRule="atLeast"/>
          <w:jc w:val="center"/>
        </w:trPr>
        <w:tc>
          <w:tcPr>
            <w:tcW w:w="1387" w:type="dxa"/>
            <w:noWrap w:val="0"/>
            <w:vAlign w:val="center"/>
          </w:tcPr>
          <w:p>
            <w:pPr>
              <w:snapToGrid w:val="0"/>
              <w:spacing w:line="400" w:lineRule="exact"/>
              <w:contextualSpacing/>
              <w:jc w:val="center"/>
              <w:rPr>
                <w:rFonts w:hint="eastAsia" w:ascii="宋体" w:hAnsi="宋体" w:cs="仿宋"/>
                <w:color w:val="000000"/>
                <w:sz w:val="24"/>
              </w:rPr>
            </w:pPr>
            <w:r>
              <w:rPr>
                <w:rStyle w:val="8"/>
                <w:rFonts w:hint="eastAsia" w:ascii="宋体" w:hAnsi="宋体" w:cs="仿宋"/>
              </w:rPr>
              <w:t>审查项目</w:t>
            </w:r>
          </w:p>
        </w:tc>
        <w:tc>
          <w:tcPr>
            <w:tcW w:w="7700" w:type="dxa"/>
            <w:noWrap w:val="0"/>
            <w:vAlign w:val="center"/>
          </w:tcPr>
          <w:p>
            <w:pPr>
              <w:snapToGrid w:val="0"/>
              <w:spacing w:line="400" w:lineRule="exact"/>
              <w:contextualSpacing/>
              <w:jc w:val="center"/>
              <w:rPr>
                <w:rFonts w:hint="eastAsia" w:ascii="宋体" w:hAnsi="宋体" w:cs="仿宋"/>
                <w:color w:val="000000"/>
                <w:sz w:val="24"/>
              </w:rPr>
            </w:pPr>
            <w:r>
              <w:rPr>
                <w:rStyle w:val="8"/>
                <w:rFonts w:hint="eastAsia" w:ascii="宋体" w:hAnsi="宋体" w:cs="仿宋"/>
              </w:rPr>
              <w:t>要求</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483" w:hRule="atLeast"/>
          <w:jc w:val="center"/>
        </w:trPr>
        <w:tc>
          <w:tcPr>
            <w:tcW w:w="1387" w:type="dxa"/>
            <w:noWrap w:val="0"/>
            <w:vAlign w:val="center"/>
          </w:tcPr>
          <w:p>
            <w:pPr>
              <w:pStyle w:val="5"/>
              <w:snapToGrid w:val="0"/>
              <w:spacing w:before="0" w:beforeAutospacing="0" w:after="0" w:afterAutospacing="0" w:line="400" w:lineRule="exact"/>
              <w:contextualSpacing/>
              <w:jc w:val="center"/>
              <w:rPr>
                <w:rFonts w:hint="eastAsia" w:cs="仿宋"/>
              </w:rPr>
            </w:pPr>
            <w:r>
              <w:rPr>
                <w:rFonts w:hint="eastAsia" w:cs="仿宋"/>
              </w:rPr>
              <w:t>资格性审查</w:t>
            </w:r>
          </w:p>
        </w:tc>
        <w:tc>
          <w:tcPr>
            <w:tcW w:w="7700" w:type="dxa"/>
            <w:noWrap w:val="0"/>
            <w:vAlign w:val="center"/>
          </w:tcPr>
          <w:p>
            <w:pPr>
              <w:snapToGrid w:val="0"/>
              <w:spacing w:line="400" w:lineRule="exact"/>
              <w:contextualSpacing/>
              <w:rPr>
                <w:rFonts w:hint="eastAsia" w:ascii="宋体" w:hAnsi="宋体" w:cs="仿宋"/>
                <w:color w:val="000000"/>
                <w:sz w:val="24"/>
              </w:rPr>
            </w:pPr>
            <w:r>
              <w:rPr>
                <w:rFonts w:hint="eastAsia" w:ascii="宋体" w:hAnsi="宋体" w:cs="仿宋"/>
                <w:color w:val="000000"/>
              </w:rPr>
              <w:t>与磋商邀请函的供应商资格要求一致。</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28" w:hRule="atLeast"/>
          <w:jc w:val="center"/>
        </w:trPr>
        <w:tc>
          <w:tcPr>
            <w:tcW w:w="9087" w:type="dxa"/>
            <w:gridSpan w:val="2"/>
            <w:noWrap w:val="0"/>
            <w:vAlign w:val="center"/>
          </w:tcPr>
          <w:p>
            <w:pPr>
              <w:snapToGrid w:val="0"/>
              <w:spacing w:line="400" w:lineRule="exact"/>
              <w:contextualSpacing/>
              <w:jc w:val="center"/>
              <w:rPr>
                <w:rFonts w:hint="eastAsia" w:ascii="宋体" w:hAnsi="宋体" w:cs="仿宋"/>
                <w:color w:val="000000"/>
                <w:sz w:val="24"/>
              </w:rPr>
            </w:pPr>
            <w:r>
              <w:rPr>
                <w:rFonts w:hint="eastAsia" w:ascii="宋体" w:hAnsi="宋体" w:cs="仿宋"/>
                <w:color w:val="000000"/>
              </w:rPr>
              <w:t>不能通过资格性审查的供应商，不需进行以下内容的审查。</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378" w:hRule="atLeast"/>
          <w:jc w:val="center"/>
        </w:trPr>
        <w:tc>
          <w:tcPr>
            <w:tcW w:w="1387" w:type="dxa"/>
            <w:vMerge w:val="restart"/>
            <w:noWrap w:val="0"/>
            <w:vAlign w:val="center"/>
          </w:tcPr>
          <w:p>
            <w:pPr>
              <w:pStyle w:val="5"/>
              <w:snapToGrid w:val="0"/>
              <w:spacing w:before="0" w:beforeAutospacing="0" w:after="0" w:afterAutospacing="0" w:line="400" w:lineRule="exact"/>
              <w:contextualSpacing/>
              <w:jc w:val="center"/>
              <w:rPr>
                <w:rFonts w:hint="eastAsia" w:cs="仿宋"/>
              </w:rPr>
            </w:pPr>
            <w:r>
              <w:rPr>
                <w:rFonts w:hint="eastAsia" w:cs="仿宋"/>
              </w:rPr>
              <w:t>符合性审查</w:t>
            </w: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1、对报价内容的关键、主要项目，供应商没有报价漏项。</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444"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2、按要求提供响应文件。</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37"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3、法定代表人/负责人资格证明书及授权委托书，按对应格式文件签署、盖章(原件)。</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103"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4、响应文件完全满足磋商文件的实质性条款；</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510"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5、提交磋商函。响应文件完整且编排有序，响应内容基本完整，无重大错漏，并按要求密封、签署、盖章。</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510"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6、响应文件没有磋商文件中规定的被视为无效磋商的其它条款的；</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224"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7、磋商有效期满足磋商文件要求；</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224"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8、如报价出现修正，报价人按磋商文件规定书面确认。</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9、按有关法律、法规、规章不属于磋商无效的；</w:t>
            </w:r>
          </w:p>
        </w:tc>
      </w:tr>
      <w:tr>
        <w:tblPrEx>
          <w:tblBorders>
            <w:top w:val="single" w:color="111111" w:sz="12" w:space="0"/>
            <w:left w:val="single" w:color="111111" w:sz="12" w:space="0"/>
            <w:bottom w:val="single" w:color="111111" w:sz="12" w:space="0"/>
            <w:right w:val="single" w:color="111111" w:sz="12" w:space="0"/>
            <w:insideH w:val="single" w:color="111111" w:sz="4" w:space="0"/>
            <w:insideV w:val="single" w:color="111111" w:sz="4" w:space="0"/>
          </w:tblBorders>
          <w:tblCellMar>
            <w:top w:w="150" w:type="dxa"/>
            <w:left w:w="150" w:type="dxa"/>
            <w:bottom w:w="150" w:type="dxa"/>
            <w:right w:w="150" w:type="dxa"/>
          </w:tblCellMar>
        </w:tblPrEx>
        <w:trPr>
          <w:trHeight w:val="90" w:hRule="atLeast"/>
          <w:jc w:val="center"/>
        </w:trPr>
        <w:tc>
          <w:tcPr>
            <w:tcW w:w="1387" w:type="dxa"/>
            <w:vMerge w:val="continue"/>
            <w:noWrap w:val="0"/>
            <w:vAlign w:val="center"/>
          </w:tcPr>
          <w:p>
            <w:pPr>
              <w:snapToGrid w:val="0"/>
              <w:spacing w:line="400" w:lineRule="exact"/>
              <w:contextualSpacing/>
              <w:rPr>
                <w:rFonts w:hint="eastAsia" w:ascii="宋体" w:hAnsi="宋体" w:cs="仿宋"/>
                <w:color w:val="000000"/>
                <w:sz w:val="24"/>
              </w:rPr>
            </w:pPr>
          </w:p>
        </w:tc>
        <w:tc>
          <w:tcPr>
            <w:tcW w:w="7700" w:type="dxa"/>
            <w:noWrap w:val="0"/>
            <w:vAlign w:val="center"/>
          </w:tcPr>
          <w:p>
            <w:pPr>
              <w:snapToGrid w:val="0"/>
              <w:spacing w:line="400" w:lineRule="exact"/>
              <w:contextualSpacing/>
              <w:rPr>
                <w:rFonts w:hint="eastAsia" w:ascii="宋体" w:hAnsi="宋体" w:cs="仿宋"/>
                <w:color w:val="000000"/>
              </w:rPr>
            </w:pPr>
            <w:r>
              <w:rPr>
                <w:rFonts w:hint="eastAsia" w:ascii="宋体" w:hAnsi="宋体" w:cs="仿宋"/>
                <w:color w:val="000000"/>
              </w:rPr>
              <w:t>10、报价总金额是固定价且是唯一的，未超过本项目采购预算。</w:t>
            </w:r>
          </w:p>
        </w:tc>
      </w:tr>
    </w:tbl>
    <w:p>
      <w:pPr>
        <w:snapToGrid w:val="0"/>
        <w:spacing w:line="400" w:lineRule="exact"/>
        <w:contextualSpacing/>
        <w:rPr>
          <w:rFonts w:hint="eastAsia" w:ascii="宋体" w:hAnsi="宋体" w:cs="仿宋"/>
          <w:color w:val="000000"/>
          <w:szCs w:val="21"/>
        </w:rPr>
      </w:pPr>
      <w:r>
        <w:rPr>
          <w:rFonts w:hint="eastAsia" w:ascii="宋体" w:hAnsi="宋体" w:cs="仿宋"/>
          <w:color w:val="000000"/>
          <w:szCs w:val="21"/>
        </w:rPr>
        <w:t>备注：1.本表与磋商文件中相关评审条款内容不一致的，以本表内容为准。</w:t>
      </w:r>
    </w:p>
    <w:p>
      <w:pPr>
        <w:snapToGrid w:val="0"/>
        <w:spacing w:line="400" w:lineRule="exact"/>
        <w:ind w:firstLine="617" w:firstLineChars="294"/>
        <w:contextualSpacing/>
        <w:rPr>
          <w:rFonts w:hint="eastAsia" w:ascii="宋体" w:hAnsi="宋体" w:cs="仿宋"/>
          <w:color w:val="000000"/>
          <w:szCs w:val="21"/>
        </w:rPr>
      </w:pPr>
      <w:r>
        <w:rPr>
          <w:rFonts w:hint="eastAsia" w:ascii="宋体" w:hAnsi="宋体" w:cs="仿宋"/>
          <w:color w:val="000000"/>
          <w:szCs w:val="21"/>
        </w:rPr>
        <w:t>2.每一项符合的打“√”，不符合的打“×”。</w:t>
      </w:r>
    </w:p>
    <w:p>
      <w:pPr>
        <w:snapToGrid w:val="0"/>
        <w:spacing w:line="400" w:lineRule="exact"/>
        <w:ind w:left="764" w:leftChars="257" w:hanging="224"/>
        <w:contextualSpacing/>
        <w:rPr>
          <w:rFonts w:hint="eastAsia" w:ascii="宋体" w:hAnsi="宋体" w:cs="仿宋"/>
          <w:color w:val="000000"/>
          <w:szCs w:val="21"/>
        </w:rPr>
      </w:pPr>
      <w:r>
        <w:rPr>
          <w:rFonts w:hint="eastAsia" w:ascii="宋体" w:hAnsi="宋体" w:cs="仿宋"/>
          <w:color w:val="000000"/>
          <w:szCs w:val="21"/>
        </w:rPr>
        <w:t>3.“结论”一栏填写“通过”或“不通过”；任何一项出现“×”的，结论为不通过；不通过的为无效响应。</w:t>
      </w:r>
    </w:p>
    <w:p>
      <w:pPr>
        <w:adjustRightInd w:val="0"/>
        <w:snapToGrid w:val="0"/>
        <w:spacing w:line="360" w:lineRule="auto"/>
        <w:ind w:left="764" w:leftChars="257" w:hanging="224"/>
        <w:rPr>
          <w:rFonts w:hint="eastAsia" w:ascii="宋体" w:hAnsi="宋体" w:cs="仿宋"/>
          <w:color w:val="000000"/>
          <w:szCs w:val="21"/>
        </w:rPr>
      </w:pPr>
      <w:r>
        <w:rPr>
          <w:rFonts w:hint="eastAsia" w:ascii="宋体" w:hAnsi="宋体" w:cs="仿宋"/>
          <w:color w:val="000000"/>
          <w:szCs w:val="21"/>
        </w:rPr>
        <w:t>4.汇总时出现不同意见的，磋商小组按简单多数原则表决决定。</w:t>
      </w:r>
      <w:bookmarkStart w:id="0" w:name="_Toc278794808"/>
      <w:bookmarkStart w:id="1" w:name="_Toc418756826"/>
      <w:bookmarkStart w:id="2" w:name="_Toc278274487"/>
    </w:p>
    <w:p>
      <w:pPr>
        <w:adjustRightInd w:val="0"/>
        <w:snapToGrid w:val="0"/>
        <w:spacing w:line="360" w:lineRule="auto"/>
        <w:ind w:left="764" w:leftChars="257" w:hanging="224"/>
        <w:rPr>
          <w:rFonts w:hint="eastAsia" w:ascii="仿宋" w:hAnsi="仿宋" w:eastAsia="仿宋" w:cs="仿宋"/>
          <w:color w:val="000000"/>
          <w:szCs w:val="21"/>
        </w:rPr>
      </w:pPr>
    </w:p>
    <w:p>
      <w:pPr>
        <w:adjustRightInd w:val="0"/>
        <w:snapToGrid w:val="0"/>
        <w:spacing w:line="360" w:lineRule="auto"/>
        <w:ind w:left="764" w:leftChars="257" w:hanging="224"/>
        <w:rPr>
          <w:rFonts w:hint="eastAsia" w:ascii="仿宋" w:hAnsi="仿宋" w:eastAsia="仿宋" w:cs="仿宋"/>
          <w:color w:val="000000"/>
          <w:szCs w:val="21"/>
        </w:rPr>
      </w:pPr>
    </w:p>
    <w:p>
      <w:pPr>
        <w:adjustRightInd w:val="0"/>
        <w:snapToGrid w:val="0"/>
        <w:spacing w:line="360" w:lineRule="auto"/>
        <w:ind w:left="764" w:leftChars="257" w:hanging="224"/>
        <w:rPr>
          <w:rFonts w:hint="eastAsia" w:ascii="仿宋" w:hAnsi="仿宋" w:eastAsia="仿宋" w:cs="仿宋"/>
          <w:color w:val="000000"/>
          <w:szCs w:val="21"/>
        </w:rPr>
      </w:pPr>
    </w:p>
    <w:p>
      <w:pPr>
        <w:adjustRightInd w:val="0"/>
        <w:snapToGrid w:val="0"/>
        <w:spacing w:line="360" w:lineRule="auto"/>
        <w:rPr>
          <w:rFonts w:hint="eastAsia" w:ascii="宋体" w:hAnsi="宋体" w:cs="仿宋"/>
          <w:b/>
          <w:color w:val="000000"/>
          <w:szCs w:val="21"/>
        </w:rPr>
      </w:pPr>
      <w:r>
        <w:rPr>
          <w:rFonts w:hint="eastAsia" w:ascii="宋体" w:hAnsi="宋体" w:cs="仿宋"/>
          <w:b/>
          <w:color w:val="000000"/>
          <w:szCs w:val="21"/>
        </w:rPr>
        <w:t>附表二：技术、商务评审表</w:t>
      </w:r>
    </w:p>
    <w:tbl>
      <w:tblPr>
        <w:tblStyle w:val="6"/>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1212"/>
        <w:gridCol w:w="787"/>
        <w:gridCol w:w="5476"/>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8148" w:type="dxa"/>
            <w:gridSpan w:val="4"/>
            <w:noWrap w:val="0"/>
            <w:vAlign w:val="center"/>
          </w:tcPr>
          <w:p>
            <w:pPr>
              <w:autoSpaceDE w:val="0"/>
              <w:autoSpaceDN w:val="0"/>
              <w:adjustRightInd w:val="0"/>
              <w:spacing w:line="360" w:lineRule="auto"/>
              <w:ind w:firstLine="667"/>
              <w:jc w:val="center"/>
              <w:rPr>
                <w:rFonts w:ascii="宋体" w:hAnsi="宋体" w:cs="宋体"/>
                <w:b/>
                <w:szCs w:val="21"/>
                <w:lang w:val="zh-CN"/>
              </w:rPr>
            </w:pPr>
            <w:r>
              <w:rPr>
                <w:rFonts w:hint="eastAsia" w:ascii="宋体" w:hAnsi="宋体" w:cs="宋体"/>
                <w:b/>
                <w:szCs w:val="21"/>
                <w:lang w:val="zh-CN"/>
              </w:rPr>
              <w:t>评分项及评分规则</w:t>
            </w:r>
          </w:p>
        </w:tc>
        <w:tc>
          <w:tcPr>
            <w:tcW w:w="1117" w:type="dxa"/>
            <w:noWrap w:val="0"/>
            <w:vAlign w:val="center"/>
          </w:tcPr>
          <w:p>
            <w:pPr>
              <w:autoSpaceDE w:val="0"/>
              <w:autoSpaceDN w:val="0"/>
              <w:adjustRightInd w:val="0"/>
              <w:spacing w:line="360" w:lineRule="auto"/>
              <w:rPr>
                <w:rFonts w:ascii="宋体" w:hAnsi="宋体" w:cs="宋体"/>
                <w:b/>
                <w:szCs w:val="21"/>
                <w:lang w:val="zh-CN"/>
              </w:rPr>
            </w:pPr>
            <w:r>
              <w:rPr>
                <w:rFonts w:hint="eastAsia" w:ascii="宋体" w:hAnsi="宋体" w:cs="宋体"/>
                <w:b/>
                <w:szCs w:val="21"/>
                <w:lang w:val="zh-CN"/>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148" w:type="dxa"/>
            <w:gridSpan w:val="4"/>
            <w:noWrap w:val="0"/>
            <w:vAlign w:val="center"/>
          </w:tcPr>
          <w:p>
            <w:pPr>
              <w:autoSpaceDE w:val="0"/>
              <w:autoSpaceDN w:val="0"/>
              <w:adjustRightInd w:val="0"/>
              <w:spacing w:line="360" w:lineRule="auto"/>
              <w:ind w:firstLine="667"/>
              <w:jc w:val="center"/>
              <w:rPr>
                <w:rFonts w:ascii="宋体" w:hAnsi="宋体" w:cs="宋体"/>
                <w:b/>
                <w:szCs w:val="21"/>
                <w:lang w:val="zh-CN"/>
              </w:rPr>
            </w:pPr>
            <w:r>
              <w:rPr>
                <w:rFonts w:hint="eastAsia" w:ascii="宋体" w:hAnsi="宋体" w:cs="宋体"/>
                <w:b/>
                <w:szCs w:val="21"/>
                <w:lang w:val="zh-CN"/>
              </w:rPr>
              <w:t>一、价格部分</w:t>
            </w:r>
          </w:p>
        </w:tc>
        <w:tc>
          <w:tcPr>
            <w:tcW w:w="1117"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8148" w:type="dxa"/>
            <w:gridSpan w:val="4"/>
            <w:noWrap w:val="0"/>
            <w:vAlign w:val="center"/>
          </w:tcPr>
          <w:p>
            <w:pPr>
              <w:autoSpaceDE w:val="0"/>
              <w:autoSpaceDN w:val="0"/>
              <w:adjustRightInd w:val="0"/>
              <w:spacing w:line="360" w:lineRule="auto"/>
              <w:ind w:firstLine="664"/>
              <w:jc w:val="left"/>
              <w:rPr>
                <w:rFonts w:ascii="宋体" w:hAnsi="宋体" w:cs="宋体"/>
                <w:szCs w:val="21"/>
              </w:rPr>
            </w:pPr>
            <w:r>
              <w:rPr>
                <w:rFonts w:hint="eastAsia" w:ascii="宋体" w:hAnsi="宋体" w:cs="宋体"/>
                <w:szCs w:val="21"/>
              </w:rPr>
              <w:t>价格分计算方法：满足招标文件要求且投标价格最低的投标报价为评标基准价，其价格分为满分。其他投标人的价格分统一按照下列公式计算：投标报价得分=(评标基准价／投标报价)×价格权重。</w:t>
            </w:r>
          </w:p>
        </w:tc>
        <w:tc>
          <w:tcPr>
            <w:tcW w:w="1117" w:type="dxa"/>
            <w:noWrap w:val="0"/>
            <w:vAlign w:val="center"/>
          </w:tcPr>
          <w:p>
            <w:pPr>
              <w:autoSpaceDE w:val="0"/>
              <w:autoSpaceDN w:val="0"/>
              <w:adjustRightInd w:val="0"/>
              <w:spacing w:line="360" w:lineRule="auto"/>
              <w:rPr>
                <w:rFonts w:ascii="宋体" w:hAnsi="宋体" w:cs="宋体"/>
                <w:szCs w:val="21"/>
                <w:lang w:val="zh-CN"/>
              </w:rPr>
            </w:pPr>
            <w:r>
              <w:rPr>
                <w:rFonts w:hint="eastAsia" w:ascii="宋体" w:hAnsi="宋体" w:cs="宋体"/>
                <w:szCs w:val="21"/>
                <w:lang w:val="zh-CN"/>
              </w:rPr>
              <w:t>评分方式</w:t>
            </w:r>
          </w:p>
          <w:p>
            <w:pPr>
              <w:autoSpaceDE w:val="0"/>
              <w:autoSpaceDN w:val="0"/>
              <w:adjustRightInd w:val="0"/>
              <w:spacing w:line="360" w:lineRule="auto"/>
              <w:rPr>
                <w:rFonts w:ascii="宋体" w:hAnsi="宋体" w:cs="宋体"/>
                <w:szCs w:val="21"/>
              </w:rPr>
            </w:pPr>
            <w:r>
              <w:rPr>
                <w:rFonts w:hint="eastAsia" w:ascii="宋体" w:hAnsi="宋体" w:cs="宋体"/>
                <w:szCs w:val="21"/>
                <w:lang w:val="zh-CN"/>
              </w:rPr>
              <w:t>按公式计算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148" w:type="dxa"/>
            <w:gridSpan w:val="4"/>
            <w:noWrap w:val="0"/>
            <w:vAlign w:val="center"/>
          </w:tcPr>
          <w:p>
            <w:pPr>
              <w:autoSpaceDE w:val="0"/>
              <w:autoSpaceDN w:val="0"/>
              <w:adjustRightInd w:val="0"/>
              <w:spacing w:line="360" w:lineRule="auto"/>
              <w:ind w:firstLine="667"/>
              <w:jc w:val="center"/>
              <w:rPr>
                <w:rFonts w:ascii="宋体" w:hAnsi="宋体" w:cs="宋体"/>
                <w:b/>
                <w:szCs w:val="21"/>
              </w:rPr>
            </w:pPr>
            <w:r>
              <w:rPr>
                <w:rFonts w:hint="eastAsia" w:ascii="宋体" w:hAnsi="宋体" w:cs="宋体"/>
                <w:b/>
                <w:szCs w:val="21"/>
                <w:lang w:val="zh-CN"/>
              </w:rPr>
              <w:t>二、服务技术部分</w:t>
            </w:r>
          </w:p>
        </w:tc>
        <w:tc>
          <w:tcPr>
            <w:tcW w:w="1117"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73"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lang w:val="zh-CN"/>
              </w:rPr>
              <w:t>序序号</w:t>
            </w:r>
          </w:p>
        </w:tc>
        <w:tc>
          <w:tcPr>
            <w:tcW w:w="1212" w:type="dxa"/>
            <w:noWrap w:val="0"/>
            <w:vAlign w:val="center"/>
          </w:tcPr>
          <w:p>
            <w:pPr>
              <w:autoSpaceDE w:val="0"/>
              <w:autoSpaceDN w:val="0"/>
              <w:adjustRightInd w:val="0"/>
              <w:spacing w:line="360" w:lineRule="auto"/>
              <w:rPr>
                <w:rFonts w:ascii="宋体" w:hAnsi="宋体" w:cs="宋体"/>
                <w:szCs w:val="21"/>
              </w:rPr>
            </w:pPr>
            <w:r>
              <w:rPr>
                <w:rFonts w:hint="eastAsia" w:ascii="宋体" w:hAnsi="宋体" w:cs="宋体"/>
                <w:szCs w:val="21"/>
                <w:lang w:val="zh-CN"/>
              </w:rPr>
              <w:t>内容</w:t>
            </w:r>
          </w:p>
        </w:tc>
        <w:tc>
          <w:tcPr>
            <w:tcW w:w="787"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lang w:val="zh-CN"/>
              </w:rPr>
              <w:t>权权重</w:t>
            </w:r>
          </w:p>
        </w:tc>
        <w:tc>
          <w:tcPr>
            <w:tcW w:w="5476"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lang w:val="zh-CN"/>
              </w:rPr>
              <w:t>评分规则</w:t>
            </w:r>
          </w:p>
        </w:tc>
        <w:tc>
          <w:tcPr>
            <w:tcW w:w="1117" w:type="dxa"/>
            <w:noWrap w:val="0"/>
            <w:vAlign w:val="center"/>
          </w:tcPr>
          <w:p>
            <w:pPr>
              <w:autoSpaceDE w:val="0"/>
              <w:autoSpaceDN w:val="0"/>
              <w:adjustRightInd w:val="0"/>
              <w:spacing w:line="360" w:lineRule="auto"/>
              <w:rPr>
                <w:rFonts w:ascii="宋体" w:hAnsi="宋体" w:cs="宋体"/>
                <w:szCs w:val="21"/>
              </w:rPr>
            </w:pPr>
            <w:r>
              <w:rPr>
                <w:rFonts w:hint="eastAsia" w:ascii="宋体" w:hAnsi="宋体" w:cs="宋体"/>
                <w:szCs w:val="21"/>
                <w:lang w:val="zh-CN"/>
              </w:rPr>
              <w:t>评分方式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73"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11</w:t>
            </w:r>
          </w:p>
        </w:tc>
        <w:tc>
          <w:tcPr>
            <w:tcW w:w="1212" w:type="dxa"/>
            <w:noWrap w:val="0"/>
            <w:vAlign w:val="center"/>
          </w:tcPr>
          <w:p>
            <w:pPr>
              <w:spacing w:line="360" w:lineRule="auto"/>
              <w:rPr>
                <w:rFonts w:ascii="宋体" w:hAnsi="宋体" w:cs="宋体"/>
                <w:szCs w:val="21"/>
              </w:rPr>
            </w:pPr>
            <w:r>
              <w:rPr>
                <w:rFonts w:hint="eastAsia" w:ascii="宋体" w:hAnsi="宋体" w:cs="宋体"/>
                <w:szCs w:val="21"/>
              </w:rPr>
              <w:t>服务需求指标响应情况</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443</w:t>
            </w:r>
          </w:p>
        </w:tc>
        <w:tc>
          <w:tcPr>
            <w:tcW w:w="5476" w:type="dxa"/>
            <w:noWrap w:val="0"/>
            <w:vAlign w:val="center"/>
          </w:tcPr>
          <w:p>
            <w:pPr>
              <w:spacing w:line="360" w:lineRule="auto"/>
              <w:ind w:firstLine="667"/>
              <w:rPr>
                <w:rFonts w:ascii="宋体" w:hAnsi="宋体" w:cs="宋体"/>
                <w:b/>
                <w:color w:val="000000"/>
                <w:szCs w:val="21"/>
              </w:rPr>
            </w:pPr>
            <w:r>
              <w:rPr>
                <w:rFonts w:hint="eastAsia" w:ascii="宋体" w:hAnsi="宋体" w:cs="宋体"/>
                <w:b/>
                <w:color w:val="000000"/>
                <w:szCs w:val="21"/>
              </w:rPr>
              <w:t>评分标准：</w:t>
            </w:r>
          </w:p>
          <w:p>
            <w:pPr>
              <w:spacing w:line="360" w:lineRule="auto"/>
              <w:ind w:firstLine="664"/>
              <w:rPr>
                <w:rFonts w:ascii="宋体" w:hAnsi="宋体" w:cs="宋体"/>
                <w:kern w:val="0"/>
                <w:szCs w:val="21"/>
              </w:rPr>
            </w:pPr>
            <w:r>
              <w:rPr>
                <w:rFonts w:hint="eastAsia" w:ascii="宋体" w:hAnsi="宋体" w:cs="宋体"/>
                <w:szCs w:val="21"/>
              </w:rPr>
              <w:t>要求对服务需求要求进行一一响应，完全响应服务需求或优于服务需求的得43分；每个▲项不能响应或负偏离扣3分/项，每个非▲项不能响应或负偏离扣1分/项，扣完为止。</w:t>
            </w:r>
          </w:p>
          <w:p>
            <w:pPr>
              <w:spacing w:line="360" w:lineRule="auto"/>
              <w:ind w:firstLine="664"/>
              <w:rPr>
                <w:rFonts w:ascii="宋体" w:hAnsi="宋体" w:cs="宋体"/>
                <w:kern w:val="0"/>
                <w:szCs w:val="21"/>
              </w:rPr>
            </w:pPr>
            <w:r>
              <w:rPr>
                <w:rFonts w:hint="eastAsia" w:ascii="宋体" w:hAnsi="宋体" w:cs="宋体"/>
                <w:kern w:val="0"/>
                <w:szCs w:val="21"/>
              </w:rPr>
              <w:t>注：所有要求提供相关证明材料的，由投标商盖章确认，未按要求提供或提供不清晰或不完整的，评委会有权认定为负偏离。</w:t>
            </w:r>
          </w:p>
        </w:tc>
        <w:tc>
          <w:tcPr>
            <w:tcW w:w="1117" w:type="dxa"/>
            <w:noWrap w:val="0"/>
            <w:vAlign w:val="center"/>
          </w:tcPr>
          <w:p>
            <w:pPr>
              <w:spacing w:line="360" w:lineRule="auto"/>
              <w:rPr>
                <w:rFonts w:ascii="宋体" w:hAnsi="宋体" w:cs="宋体"/>
                <w:szCs w:val="21"/>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73"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22</w:t>
            </w:r>
          </w:p>
        </w:tc>
        <w:tc>
          <w:tcPr>
            <w:tcW w:w="1212" w:type="dxa"/>
            <w:noWrap w:val="0"/>
            <w:vAlign w:val="center"/>
          </w:tcPr>
          <w:p>
            <w:pPr>
              <w:widowControl/>
              <w:spacing w:line="360" w:lineRule="auto"/>
              <w:rPr>
                <w:rFonts w:ascii="宋体" w:hAnsi="宋体" w:cs="宋体"/>
                <w:kern w:val="0"/>
                <w:szCs w:val="21"/>
              </w:rPr>
            </w:pPr>
            <w:r>
              <w:rPr>
                <w:rFonts w:hint="eastAsia" w:ascii="宋体" w:hAnsi="宋体" w:cs="宋体"/>
                <w:color w:val="000000"/>
                <w:szCs w:val="21"/>
              </w:rPr>
              <w:t>服务方案响应情况</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16</w:t>
            </w:r>
          </w:p>
        </w:tc>
        <w:tc>
          <w:tcPr>
            <w:tcW w:w="5476" w:type="dxa"/>
            <w:noWrap w:val="0"/>
            <w:vAlign w:val="center"/>
          </w:tcPr>
          <w:p>
            <w:pPr>
              <w:spacing w:line="360" w:lineRule="auto"/>
              <w:ind w:firstLine="667"/>
              <w:rPr>
                <w:rFonts w:ascii="宋体" w:hAnsi="宋体" w:cs="宋体"/>
                <w:b/>
                <w:color w:val="000000"/>
                <w:szCs w:val="21"/>
              </w:rPr>
            </w:pPr>
            <w:r>
              <w:rPr>
                <w:rFonts w:hint="eastAsia" w:ascii="宋体" w:hAnsi="宋体" w:cs="宋体"/>
                <w:b/>
                <w:color w:val="000000"/>
                <w:szCs w:val="21"/>
              </w:rPr>
              <w:t>评分标准：</w:t>
            </w:r>
          </w:p>
          <w:p>
            <w:pPr>
              <w:spacing w:line="360" w:lineRule="auto"/>
              <w:rPr>
                <w:rFonts w:ascii="宋体" w:hAnsi="宋体" w:cs="宋体"/>
                <w:szCs w:val="21"/>
              </w:rPr>
            </w:pPr>
            <w:r>
              <w:rPr>
                <w:rFonts w:hint="eastAsia" w:ascii="宋体" w:hAnsi="宋体" w:cs="宋体"/>
                <w:szCs w:val="21"/>
              </w:rPr>
              <w:t>1、安全管理咨询服务，能满足针对政务外网安全管理、治理和咨询建议所提的需求，有清晰的服务过程内容描述的得1分，一般的得0.5分，不符合要求的不得分；</w:t>
            </w:r>
          </w:p>
          <w:p>
            <w:pPr>
              <w:spacing w:line="360" w:lineRule="auto"/>
              <w:rPr>
                <w:rFonts w:ascii="宋体" w:hAnsi="宋体" w:cs="宋体"/>
                <w:szCs w:val="21"/>
              </w:rPr>
            </w:pPr>
            <w:r>
              <w:rPr>
                <w:rFonts w:hint="eastAsia" w:ascii="宋体" w:hAnsi="宋体" w:cs="宋体"/>
                <w:szCs w:val="21"/>
              </w:rPr>
              <w:t>2、系统上云前的安全评估服务，能对上云的主机和应用系统安全风险评估的服务内容、过程描述清晰，技术要求符合性强的得1分，一般的得0.5分，不符合要求的不得分；</w:t>
            </w:r>
          </w:p>
          <w:p>
            <w:pPr>
              <w:spacing w:line="360" w:lineRule="auto"/>
              <w:rPr>
                <w:rFonts w:ascii="宋体" w:hAnsi="宋体" w:cs="宋体"/>
                <w:szCs w:val="21"/>
              </w:rPr>
            </w:pPr>
            <w:r>
              <w:rPr>
                <w:rFonts w:hint="eastAsia" w:ascii="宋体" w:hAnsi="宋体" w:cs="宋体"/>
                <w:szCs w:val="21"/>
              </w:rPr>
              <w:t>3、</w:t>
            </w:r>
            <w:r>
              <w:rPr>
                <w:rFonts w:hint="eastAsia" w:ascii="宋体" w:hAnsi="宋体"/>
                <w:szCs w:val="21"/>
              </w:rPr>
              <w:t>安全</w:t>
            </w:r>
            <w:r>
              <w:rPr>
                <w:rFonts w:hint="eastAsia" w:ascii="宋体" w:hAnsi="宋体" w:cs="宋体"/>
                <w:szCs w:val="21"/>
              </w:rPr>
              <w:t>监测</w:t>
            </w:r>
            <w:r>
              <w:rPr>
                <w:rFonts w:hint="eastAsia" w:ascii="宋体" w:hAnsi="宋体"/>
                <w:szCs w:val="21"/>
              </w:rPr>
              <w:t>预警服务，</w:t>
            </w:r>
            <w:r>
              <w:rPr>
                <w:rFonts w:hint="eastAsia" w:ascii="宋体" w:hAnsi="宋体" w:cs="宋体"/>
                <w:szCs w:val="21"/>
              </w:rPr>
              <w:t>风险监测</w:t>
            </w:r>
            <w:r>
              <w:rPr>
                <w:rFonts w:hint="eastAsia" w:ascii="宋体" w:hAnsi="宋体"/>
                <w:szCs w:val="21"/>
              </w:rPr>
              <w:t>预警</w:t>
            </w:r>
            <w:r>
              <w:rPr>
                <w:rFonts w:hint="eastAsia" w:ascii="宋体" w:hAnsi="宋体" w:cs="宋体"/>
                <w:szCs w:val="21"/>
              </w:rPr>
              <w:t>评估内容、过程描述清晰，技术要求符合性强的得1分，一般的得0.5分，不符合要求的不得分；</w:t>
            </w:r>
          </w:p>
          <w:p>
            <w:pPr>
              <w:spacing w:line="360" w:lineRule="auto"/>
              <w:rPr>
                <w:rFonts w:ascii="宋体" w:hAnsi="宋体" w:cs="宋体"/>
                <w:szCs w:val="21"/>
              </w:rPr>
            </w:pPr>
            <w:r>
              <w:rPr>
                <w:rFonts w:hint="eastAsia" w:ascii="宋体" w:hAnsi="宋体" w:cs="宋体"/>
                <w:szCs w:val="21"/>
              </w:rPr>
              <w:t>4、</w:t>
            </w:r>
            <w:r>
              <w:rPr>
                <w:rFonts w:hint="eastAsia" w:ascii="宋体" w:hAnsi="宋体"/>
                <w:szCs w:val="21"/>
              </w:rPr>
              <w:t>安全应急响应服务，应急事件管理内容、</w:t>
            </w:r>
            <w:r>
              <w:rPr>
                <w:rFonts w:hint="eastAsia" w:ascii="宋体" w:hAnsi="宋体" w:cs="宋体"/>
                <w:szCs w:val="21"/>
              </w:rPr>
              <w:t>过程描述清晰，技术要求符合性强的得1分，一般的得0.5分，不符合要求的不得分；</w:t>
            </w:r>
          </w:p>
          <w:p>
            <w:pPr>
              <w:spacing w:line="360" w:lineRule="auto"/>
              <w:rPr>
                <w:rFonts w:ascii="宋体" w:hAnsi="宋体" w:cs="宋体"/>
                <w:szCs w:val="21"/>
              </w:rPr>
            </w:pPr>
            <w:r>
              <w:rPr>
                <w:rFonts w:hint="eastAsia" w:ascii="宋体" w:hAnsi="宋体" w:cs="宋体"/>
                <w:szCs w:val="21"/>
              </w:rPr>
              <w:t>5、</w:t>
            </w:r>
            <w:r>
              <w:rPr>
                <w:rFonts w:hint="eastAsia" w:ascii="宋体" w:hAnsi="宋体"/>
                <w:szCs w:val="21"/>
              </w:rPr>
              <w:t>应急演练服务内容、</w:t>
            </w:r>
            <w:r>
              <w:rPr>
                <w:rFonts w:hint="eastAsia" w:ascii="宋体" w:hAnsi="宋体" w:cs="宋体"/>
                <w:szCs w:val="21"/>
              </w:rPr>
              <w:t>过程描述清晰，技术要求符合性强的得得1分，一般的得0.5分，不符合要求的不得分；</w:t>
            </w:r>
          </w:p>
          <w:p>
            <w:pPr>
              <w:spacing w:line="360" w:lineRule="auto"/>
              <w:rPr>
                <w:rFonts w:ascii="宋体" w:hAnsi="宋体" w:cs="宋体"/>
                <w:color w:val="000000"/>
                <w:szCs w:val="21"/>
              </w:rPr>
            </w:pPr>
            <w:r>
              <w:rPr>
                <w:rFonts w:hint="eastAsia" w:ascii="宋体" w:hAnsi="宋体" w:cs="宋体"/>
                <w:szCs w:val="21"/>
              </w:rPr>
              <w:t>6、</w:t>
            </w:r>
            <w:r>
              <w:rPr>
                <w:rFonts w:hint="eastAsia" w:ascii="宋体" w:hAnsi="宋体"/>
                <w:szCs w:val="21"/>
              </w:rPr>
              <w:t>安全培训服务，培训内容、</w:t>
            </w:r>
            <w:r>
              <w:rPr>
                <w:rFonts w:hint="eastAsia" w:ascii="宋体" w:hAnsi="宋体" w:cs="宋体"/>
                <w:szCs w:val="21"/>
              </w:rPr>
              <w:t>过程描述清晰，技术要求符合性强的得1分，一般的得0.5分，不符合要求的不得分；</w:t>
            </w:r>
          </w:p>
        </w:tc>
        <w:tc>
          <w:tcPr>
            <w:tcW w:w="1117" w:type="dxa"/>
            <w:noWrap w:val="0"/>
            <w:vAlign w:val="center"/>
          </w:tcPr>
          <w:p>
            <w:pPr>
              <w:spacing w:line="360" w:lineRule="auto"/>
              <w:rPr>
                <w:rFonts w:ascii="宋体" w:hAnsi="宋体" w:cs="宋体"/>
                <w:szCs w:val="21"/>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73" w:type="dxa"/>
            <w:noWrap w:val="0"/>
            <w:vAlign w:val="center"/>
          </w:tcPr>
          <w:p>
            <w:pPr>
              <w:pStyle w:val="9"/>
              <w:spacing w:line="360" w:lineRule="auto"/>
              <w:ind w:firstLine="0" w:firstLineChars="0"/>
              <w:jc w:val="center"/>
              <w:rPr>
                <w:rFonts w:ascii="宋体" w:eastAsia="宋体" w:cs="宋体"/>
                <w:sz w:val="21"/>
                <w:szCs w:val="21"/>
              </w:rPr>
            </w:pPr>
            <w:r>
              <w:rPr>
                <w:rFonts w:hint="eastAsia" w:ascii="宋体" w:eastAsia="宋体" w:cs="宋体"/>
                <w:sz w:val="21"/>
                <w:szCs w:val="21"/>
              </w:rPr>
              <w:t>3</w:t>
            </w:r>
          </w:p>
        </w:tc>
        <w:tc>
          <w:tcPr>
            <w:tcW w:w="1212" w:type="dxa"/>
            <w:noWrap w:val="0"/>
            <w:vAlign w:val="center"/>
          </w:tcPr>
          <w:p>
            <w:pPr>
              <w:spacing w:line="360" w:lineRule="auto"/>
              <w:rPr>
                <w:rFonts w:ascii="宋体" w:hAnsi="宋体" w:cs="宋体"/>
                <w:szCs w:val="21"/>
              </w:rPr>
            </w:pPr>
            <w:r>
              <w:rPr>
                <w:rFonts w:hint="eastAsia" w:ascii="宋体" w:hAnsi="宋体" w:cs="宋体"/>
                <w:szCs w:val="21"/>
              </w:rPr>
              <w:t>安全服务工具优异性评价</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66</w:t>
            </w:r>
          </w:p>
        </w:tc>
        <w:tc>
          <w:tcPr>
            <w:tcW w:w="5476" w:type="dxa"/>
            <w:noWrap w:val="0"/>
            <w:vAlign w:val="center"/>
          </w:tcPr>
          <w:p>
            <w:pPr>
              <w:spacing w:line="360" w:lineRule="auto"/>
              <w:rPr>
                <w:rFonts w:ascii="宋体" w:hAnsi="宋体" w:cs="宋体"/>
                <w:szCs w:val="21"/>
              </w:rPr>
            </w:pPr>
            <w:r>
              <w:rPr>
                <w:rFonts w:ascii="宋体" w:hAnsi="宋体" w:cs="宋体"/>
                <w:szCs w:val="21"/>
              </w:rPr>
              <w:t>1、</w:t>
            </w:r>
            <w:r>
              <w:rPr>
                <w:rFonts w:hint="eastAsia" w:ascii="宋体" w:hAnsi="宋体" w:cs="宋体"/>
                <w:szCs w:val="21"/>
              </w:rPr>
              <w:t>漏洞扫描工具：</w:t>
            </w:r>
          </w:p>
          <w:p>
            <w:pPr>
              <w:spacing w:line="360" w:lineRule="auto"/>
              <w:rPr>
                <w:rFonts w:ascii="宋体" w:hAnsi="宋体" w:cs="宋体"/>
                <w:szCs w:val="21"/>
              </w:rPr>
            </w:pPr>
            <w:r>
              <w:rPr>
                <w:rFonts w:hint="eastAsia" w:ascii="宋体" w:hAnsi="宋体" w:cs="宋体"/>
                <w:szCs w:val="21"/>
              </w:rPr>
              <w:t>①获得中国信息安全认证中心颁发的《中国国家信息安全产品认证证书》（ISCCC），得</w:t>
            </w:r>
            <w:r>
              <w:rPr>
                <w:rFonts w:ascii="宋体" w:hAnsi="宋体" w:cs="宋体"/>
                <w:szCs w:val="21"/>
              </w:rPr>
              <w:t>2</w:t>
            </w:r>
            <w:r>
              <w:rPr>
                <w:rFonts w:hint="eastAsia" w:ascii="宋体" w:hAnsi="宋体" w:cs="宋体"/>
                <w:szCs w:val="21"/>
              </w:rPr>
              <w:t>分</w:t>
            </w:r>
            <w:r>
              <w:rPr>
                <w:rFonts w:ascii="宋体" w:hAnsi="宋体" w:cs="宋体"/>
                <w:szCs w:val="21"/>
              </w:rPr>
              <w:t>。</w:t>
            </w:r>
          </w:p>
          <w:p>
            <w:pPr>
              <w:pStyle w:val="10"/>
              <w:widowControl/>
              <w:rPr>
                <w:rFonts w:ascii="宋体" w:hAnsi="宋体" w:cs="宋体"/>
                <w:color w:val="auto"/>
                <w:szCs w:val="21"/>
              </w:rPr>
            </w:pPr>
            <w:r>
              <w:rPr>
                <w:rFonts w:hint="eastAsia" w:ascii="宋体" w:hAnsi="宋体" w:eastAsia="宋体" w:cs="宋体"/>
                <w:color w:val="auto"/>
                <w:kern w:val="2"/>
                <w:sz w:val="21"/>
                <w:szCs w:val="21"/>
              </w:rPr>
              <w:t>②</w:t>
            </w:r>
            <w:r>
              <w:rPr>
                <w:rFonts w:ascii="宋体" w:hAnsi="宋体" w:eastAsia="宋体" w:cs="宋体"/>
                <w:color w:val="auto"/>
                <w:kern w:val="2"/>
                <w:sz w:val="21"/>
                <w:szCs w:val="21"/>
              </w:rPr>
              <w:t>工具提供方</w:t>
            </w:r>
            <w:r>
              <w:rPr>
                <w:rFonts w:hint="eastAsia" w:ascii="宋体" w:hAnsi="宋体" w:eastAsia="宋体" w:cs="宋体"/>
                <w:color w:val="auto"/>
                <w:kern w:val="2"/>
                <w:sz w:val="21"/>
                <w:szCs w:val="21"/>
              </w:rPr>
              <w:t>通过</w:t>
            </w:r>
            <w:r>
              <w:rPr>
                <w:rFonts w:ascii="宋体" w:hAnsi="宋体" w:eastAsia="宋体" w:cs="宋体"/>
                <w:color w:val="auto"/>
                <w:kern w:val="2"/>
                <w:sz w:val="21"/>
                <w:szCs w:val="21"/>
              </w:rPr>
              <w:t>中国</w:t>
            </w:r>
            <w:r>
              <w:rPr>
                <w:rFonts w:hint="eastAsia" w:ascii="宋体" w:hAnsi="宋体" w:eastAsia="宋体" w:cs="宋体"/>
                <w:color w:val="auto"/>
                <w:kern w:val="2"/>
                <w:sz w:val="21"/>
                <w:szCs w:val="21"/>
              </w:rPr>
              <w:t>信息技术服务管理体系（ISO/IEC20000-1:2011）认证，得</w:t>
            </w:r>
            <w:r>
              <w:rPr>
                <w:rFonts w:ascii="宋体" w:hAnsi="宋体" w:eastAsia="宋体" w:cs="宋体"/>
                <w:color w:val="auto"/>
                <w:kern w:val="2"/>
                <w:sz w:val="21"/>
                <w:szCs w:val="21"/>
              </w:rPr>
              <w:t>2</w:t>
            </w:r>
            <w:r>
              <w:rPr>
                <w:rFonts w:hint="eastAsia" w:ascii="宋体" w:hAnsi="宋体" w:eastAsia="宋体" w:cs="宋体"/>
                <w:color w:val="auto"/>
                <w:kern w:val="2"/>
                <w:sz w:val="21"/>
                <w:szCs w:val="21"/>
              </w:rPr>
              <w:t>分</w:t>
            </w:r>
          </w:p>
          <w:p>
            <w:pPr>
              <w:spacing w:line="360" w:lineRule="auto"/>
              <w:rPr>
                <w:rFonts w:ascii="宋体" w:hAnsi="宋体" w:cs="宋体"/>
                <w:szCs w:val="21"/>
              </w:rPr>
            </w:pPr>
            <w:r>
              <w:rPr>
                <w:rFonts w:hint="eastAsia" w:ascii="宋体" w:hAnsi="宋体" w:cs="宋体"/>
                <w:szCs w:val="21"/>
              </w:rPr>
              <w:t>2、安全配置检查工具：所提供服务的安全服务工具每获1个《计算机软件著作权登记证》，得1分，最多得</w:t>
            </w:r>
            <w:r>
              <w:rPr>
                <w:rFonts w:ascii="宋体" w:hAnsi="宋体" w:cs="宋体"/>
                <w:szCs w:val="21"/>
              </w:rPr>
              <w:t>2</w:t>
            </w:r>
            <w:r>
              <w:rPr>
                <w:rFonts w:hint="eastAsia" w:ascii="宋体" w:hAnsi="宋体" w:cs="宋体"/>
                <w:szCs w:val="21"/>
              </w:rPr>
              <w:t>分。</w:t>
            </w:r>
          </w:p>
          <w:p>
            <w:pPr>
              <w:spacing w:line="360" w:lineRule="auto"/>
              <w:rPr>
                <w:rFonts w:ascii="宋体" w:hAnsi="宋体" w:cs="宋体"/>
                <w:b/>
                <w:color w:val="000000"/>
                <w:szCs w:val="21"/>
              </w:rPr>
            </w:pPr>
            <w:r>
              <w:rPr>
                <w:rFonts w:hint="eastAsia" w:ascii="宋体" w:hAnsi="宋体" w:cs="宋体"/>
                <w:szCs w:val="21"/>
              </w:rPr>
              <w:t xml:space="preserve">注：以上证书提供复印件加盖公章。 </w:t>
            </w:r>
          </w:p>
        </w:tc>
        <w:tc>
          <w:tcPr>
            <w:tcW w:w="1117" w:type="dxa"/>
            <w:noWrap w:val="0"/>
            <w:vAlign w:val="center"/>
          </w:tcPr>
          <w:p>
            <w:pPr>
              <w:spacing w:line="360" w:lineRule="auto"/>
              <w:rPr>
                <w:rFonts w:ascii="宋体" w:hAnsi="宋体" w:cs="宋体"/>
                <w:szCs w:val="21"/>
                <w:lang w:val="zh-CN"/>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73" w:type="dxa"/>
            <w:noWrap w:val="0"/>
            <w:vAlign w:val="center"/>
          </w:tcPr>
          <w:p>
            <w:pPr>
              <w:pStyle w:val="9"/>
              <w:spacing w:line="360" w:lineRule="auto"/>
              <w:ind w:firstLine="0" w:firstLineChars="0"/>
              <w:jc w:val="center"/>
              <w:rPr>
                <w:rFonts w:ascii="宋体" w:eastAsia="宋体" w:cs="宋体"/>
                <w:sz w:val="21"/>
                <w:szCs w:val="21"/>
              </w:rPr>
            </w:pPr>
            <w:r>
              <w:rPr>
                <w:rFonts w:hint="eastAsia" w:ascii="宋体" w:eastAsia="宋体" w:cs="宋体"/>
                <w:sz w:val="21"/>
                <w:szCs w:val="21"/>
              </w:rPr>
              <w:t>4</w:t>
            </w:r>
          </w:p>
        </w:tc>
        <w:tc>
          <w:tcPr>
            <w:tcW w:w="1212" w:type="dxa"/>
            <w:noWrap w:val="0"/>
            <w:vAlign w:val="center"/>
          </w:tcPr>
          <w:p>
            <w:pPr>
              <w:spacing w:line="360" w:lineRule="auto"/>
              <w:rPr>
                <w:rFonts w:ascii="宋体" w:hAnsi="宋体" w:cs="宋体"/>
                <w:szCs w:val="21"/>
              </w:rPr>
            </w:pPr>
            <w:r>
              <w:rPr>
                <w:rFonts w:hint="eastAsia" w:ascii="宋体" w:hAnsi="宋体" w:cs="宋体"/>
                <w:szCs w:val="21"/>
              </w:rPr>
              <w:t>安全服务计划</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55</w:t>
            </w:r>
          </w:p>
        </w:tc>
        <w:tc>
          <w:tcPr>
            <w:tcW w:w="5476" w:type="dxa"/>
            <w:noWrap w:val="0"/>
            <w:vAlign w:val="center"/>
          </w:tcPr>
          <w:p>
            <w:pPr>
              <w:spacing w:line="360" w:lineRule="auto"/>
              <w:ind w:firstLine="667"/>
              <w:rPr>
                <w:rFonts w:ascii="宋体" w:hAnsi="宋体" w:cs="宋体"/>
                <w:b/>
                <w:color w:val="000000"/>
                <w:szCs w:val="21"/>
              </w:rPr>
            </w:pPr>
            <w:r>
              <w:rPr>
                <w:rFonts w:hint="eastAsia" w:ascii="宋体" w:hAnsi="宋体" w:cs="宋体"/>
                <w:b/>
                <w:color w:val="000000"/>
                <w:szCs w:val="21"/>
              </w:rPr>
              <w:t>评分标准：</w:t>
            </w:r>
          </w:p>
          <w:p>
            <w:pPr>
              <w:pStyle w:val="3"/>
              <w:spacing w:line="360" w:lineRule="auto"/>
              <w:ind w:right="105" w:firstLine="664"/>
              <w:rPr>
                <w:rFonts w:hAnsi="宋体" w:cs="宋体"/>
              </w:rPr>
            </w:pPr>
            <w:r>
              <w:rPr>
                <w:rFonts w:hint="eastAsia" w:hAnsi="宋体" w:cs="宋体"/>
              </w:rPr>
              <w:t>投标人提供的安全服务计划的科学性，各阶段人力物力投入分配及其保证措施：优秀5分，良好3分，尚可1分。</w:t>
            </w:r>
          </w:p>
        </w:tc>
        <w:tc>
          <w:tcPr>
            <w:tcW w:w="1117" w:type="dxa"/>
            <w:noWrap w:val="0"/>
            <w:vAlign w:val="center"/>
          </w:tcPr>
          <w:p>
            <w:pPr>
              <w:spacing w:line="360" w:lineRule="auto"/>
              <w:rPr>
                <w:rFonts w:ascii="宋体" w:hAnsi="宋体" w:cs="宋体"/>
                <w:szCs w:val="21"/>
                <w:lang w:val="zh-CN"/>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148" w:type="dxa"/>
            <w:gridSpan w:val="4"/>
            <w:noWrap w:val="0"/>
            <w:vAlign w:val="center"/>
          </w:tcPr>
          <w:p>
            <w:pPr>
              <w:autoSpaceDE w:val="0"/>
              <w:autoSpaceDN w:val="0"/>
              <w:adjustRightInd w:val="0"/>
              <w:spacing w:line="360" w:lineRule="auto"/>
              <w:ind w:firstLine="667"/>
              <w:jc w:val="center"/>
              <w:rPr>
                <w:rFonts w:ascii="宋体" w:hAnsi="宋体" w:cs="宋体"/>
                <w:b/>
                <w:szCs w:val="21"/>
                <w:lang w:val="zh-CN"/>
              </w:rPr>
            </w:pPr>
            <w:r>
              <w:rPr>
                <w:rFonts w:hint="eastAsia" w:ascii="宋体" w:hAnsi="宋体" w:cs="宋体"/>
                <w:b/>
                <w:szCs w:val="21"/>
                <w:lang w:val="zh-CN"/>
              </w:rPr>
              <w:t>三、综合实力部分</w:t>
            </w:r>
          </w:p>
        </w:tc>
        <w:tc>
          <w:tcPr>
            <w:tcW w:w="1117" w:type="dxa"/>
            <w:noWrap w:val="0"/>
            <w:vAlign w:val="center"/>
          </w:tcPr>
          <w:p>
            <w:pPr>
              <w:autoSpaceDE w:val="0"/>
              <w:autoSpaceDN w:val="0"/>
              <w:adjustRightInd w:val="0"/>
              <w:spacing w:line="360" w:lineRule="auto"/>
              <w:ind w:firstLine="664"/>
              <w:jc w:val="center"/>
              <w:rPr>
                <w:rFonts w:ascii="宋体" w:hAnsi="宋体" w:cs="宋体"/>
                <w:szCs w:val="21"/>
                <w:lang w:val="zh-CN"/>
              </w:rPr>
            </w:pPr>
            <w:r>
              <w:rPr>
                <w:rFonts w:hint="eastAsia" w:ascii="宋体" w:hAnsi="宋体" w:cs="宋体"/>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73"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lang w:val="zh-CN"/>
              </w:rPr>
              <w:t>序序号</w:t>
            </w:r>
          </w:p>
        </w:tc>
        <w:tc>
          <w:tcPr>
            <w:tcW w:w="1212" w:type="dxa"/>
            <w:noWrap w:val="0"/>
            <w:vAlign w:val="center"/>
          </w:tcPr>
          <w:p>
            <w:pPr>
              <w:autoSpaceDE w:val="0"/>
              <w:autoSpaceDN w:val="0"/>
              <w:adjustRightInd w:val="0"/>
              <w:spacing w:line="360" w:lineRule="auto"/>
              <w:rPr>
                <w:rFonts w:ascii="宋体" w:hAnsi="宋体" w:cs="宋体"/>
                <w:szCs w:val="21"/>
              </w:rPr>
            </w:pPr>
            <w:r>
              <w:rPr>
                <w:rFonts w:hint="eastAsia" w:ascii="宋体" w:hAnsi="宋体" w:cs="宋体"/>
                <w:szCs w:val="21"/>
                <w:lang w:val="zh-CN"/>
              </w:rPr>
              <w:t>内容</w:t>
            </w:r>
          </w:p>
        </w:tc>
        <w:tc>
          <w:tcPr>
            <w:tcW w:w="787" w:type="dxa"/>
            <w:noWrap w:val="0"/>
            <w:vAlign w:val="center"/>
          </w:tcPr>
          <w:p>
            <w:pPr>
              <w:autoSpaceDE w:val="0"/>
              <w:autoSpaceDN w:val="0"/>
              <w:adjustRightInd w:val="0"/>
              <w:spacing w:line="360" w:lineRule="auto"/>
              <w:ind w:firstLine="664"/>
              <w:jc w:val="center"/>
              <w:rPr>
                <w:rFonts w:ascii="宋体" w:hAnsi="宋体" w:cs="宋体"/>
                <w:szCs w:val="21"/>
              </w:rPr>
            </w:pPr>
            <w:r>
              <w:rPr>
                <w:rFonts w:hint="eastAsia" w:ascii="宋体" w:hAnsi="宋体" w:cs="宋体"/>
                <w:szCs w:val="21"/>
                <w:lang w:val="zh-CN"/>
              </w:rPr>
              <w:t>权权重</w:t>
            </w:r>
          </w:p>
        </w:tc>
        <w:tc>
          <w:tcPr>
            <w:tcW w:w="5476" w:type="dxa"/>
            <w:noWrap w:val="0"/>
            <w:vAlign w:val="center"/>
          </w:tcPr>
          <w:p>
            <w:pPr>
              <w:autoSpaceDE w:val="0"/>
              <w:autoSpaceDN w:val="0"/>
              <w:adjustRightInd w:val="0"/>
              <w:spacing w:line="360" w:lineRule="auto"/>
              <w:ind w:firstLine="664"/>
              <w:jc w:val="center"/>
              <w:rPr>
                <w:rFonts w:ascii="宋体" w:hAnsi="宋体" w:cs="宋体"/>
                <w:szCs w:val="21"/>
                <w:lang w:val="zh-CN"/>
              </w:rPr>
            </w:pPr>
            <w:r>
              <w:rPr>
                <w:rFonts w:hint="eastAsia" w:ascii="宋体" w:hAnsi="宋体" w:cs="宋体"/>
                <w:szCs w:val="21"/>
                <w:lang w:val="zh-CN"/>
              </w:rPr>
              <w:t>评分规则</w:t>
            </w:r>
          </w:p>
        </w:tc>
        <w:tc>
          <w:tcPr>
            <w:tcW w:w="1117" w:type="dxa"/>
            <w:noWrap w:val="0"/>
            <w:vAlign w:val="center"/>
          </w:tcPr>
          <w:p>
            <w:pPr>
              <w:autoSpaceDE w:val="0"/>
              <w:autoSpaceDN w:val="0"/>
              <w:adjustRightInd w:val="0"/>
              <w:spacing w:line="360" w:lineRule="auto"/>
              <w:rPr>
                <w:rFonts w:ascii="宋体" w:hAnsi="宋体" w:cs="宋体"/>
                <w:szCs w:val="21"/>
                <w:lang w:val="zh-CN"/>
              </w:rPr>
            </w:pPr>
            <w:r>
              <w:rPr>
                <w:rFonts w:hint="eastAsia" w:ascii="宋体" w:hAnsi="宋体" w:cs="宋体"/>
                <w:szCs w:val="21"/>
                <w:lang w:val="zh-CN"/>
              </w:rPr>
              <w:t>评分方式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73"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11</w:t>
            </w:r>
          </w:p>
        </w:tc>
        <w:tc>
          <w:tcPr>
            <w:tcW w:w="1212" w:type="dxa"/>
            <w:noWrap w:val="0"/>
            <w:vAlign w:val="center"/>
          </w:tcPr>
          <w:p>
            <w:pPr>
              <w:spacing w:line="360" w:lineRule="auto"/>
              <w:rPr>
                <w:rFonts w:ascii="宋体" w:hAnsi="宋体" w:cs="宋体"/>
                <w:szCs w:val="21"/>
              </w:rPr>
            </w:pPr>
            <w:r>
              <w:rPr>
                <w:rFonts w:hint="eastAsia" w:ascii="宋体" w:hAnsi="宋体" w:cs="宋体"/>
                <w:szCs w:val="21"/>
              </w:rPr>
              <w:t>企业资质情况</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116</w:t>
            </w:r>
          </w:p>
        </w:tc>
        <w:tc>
          <w:tcPr>
            <w:tcW w:w="5476" w:type="dxa"/>
            <w:noWrap w:val="0"/>
            <w:vAlign w:val="center"/>
          </w:tcPr>
          <w:p>
            <w:pPr>
              <w:pStyle w:val="4"/>
              <w:pBdr>
                <w:bottom w:val="none" w:color="auto" w:sz="0" w:space="0"/>
              </w:pBdr>
              <w:tabs>
                <w:tab w:val="left" w:pos="420"/>
              </w:tabs>
              <w:spacing w:line="360" w:lineRule="auto"/>
              <w:jc w:val="left"/>
              <w:rPr>
                <w:rFonts w:ascii="宋体" w:hAnsi="宋体" w:cs="宋体"/>
                <w:b/>
                <w:sz w:val="21"/>
                <w:szCs w:val="21"/>
              </w:rPr>
            </w:pPr>
            <w:r>
              <w:rPr>
                <w:rFonts w:hint="eastAsia" w:ascii="宋体" w:hAnsi="宋体" w:cs="宋体"/>
                <w:b/>
                <w:sz w:val="21"/>
                <w:szCs w:val="21"/>
              </w:rPr>
              <w:t>评分标准：</w:t>
            </w:r>
          </w:p>
          <w:p>
            <w:pPr>
              <w:pStyle w:val="4"/>
              <w:pBdr>
                <w:bottom w:val="none" w:color="auto" w:sz="0" w:space="0"/>
              </w:pBdr>
              <w:tabs>
                <w:tab w:val="left" w:pos="420"/>
              </w:tabs>
              <w:spacing w:line="360" w:lineRule="auto"/>
              <w:jc w:val="both"/>
              <w:rPr>
                <w:rFonts w:ascii="宋体" w:hAnsi="宋体" w:cs="宋体"/>
                <w:sz w:val="21"/>
                <w:szCs w:val="21"/>
              </w:rPr>
            </w:pPr>
            <w:r>
              <w:rPr>
                <w:rFonts w:hint="eastAsia" w:ascii="宋体" w:hAnsi="宋体" w:cs="宋体"/>
                <w:sz w:val="21"/>
                <w:szCs w:val="21"/>
              </w:rPr>
              <w:t>资质证书要求投标厂商具有。</w:t>
            </w:r>
          </w:p>
          <w:p>
            <w:pPr>
              <w:widowControl/>
              <w:jc w:val="left"/>
              <w:rPr>
                <w:rFonts w:ascii="宋体" w:hAnsi="宋体" w:cs="宋体"/>
                <w:szCs w:val="21"/>
              </w:rPr>
            </w:pPr>
            <w:r>
              <w:rPr>
                <w:rFonts w:hint="eastAsia" w:ascii="宋体" w:hAnsi="宋体" w:cs="宋体"/>
                <w:szCs w:val="21"/>
              </w:rPr>
              <w:t>1</w:t>
            </w:r>
            <w:r>
              <w:rPr>
                <w:rFonts w:ascii="宋体" w:hAnsi="宋体" w:cs="宋体"/>
                <w:szCs w:val="21"/>
              </w:rPr>
              <w:t>、</w:t>
            </w:r>
            <w:r>
              <w:rPr>
                <w:rFonts w:hint="eastAsia" w:ascii="宋体" w:hAnsi="宋体" w:cs="宋体"/>
                <w:szCs w:val="21"/>
              </w:rPr>
              <w:t>具备中国网络安全审查技术与认证中心</w:t>
            </w:r>
            <w:r>
              <w:rPr>
                <w:rFonts w:ascii="宋体" w:hAnsi="宋体" w:cs="宋体"/>
                <w:szCs w:val="21"/>
              </w:rPr>
              <w:t>认证的信息</w:t>
            </w:r>
            <w:r>
              <w:rPr>
                <w:rFonts w:hint="eastAsia" w:ascii="宋体" w:hAnsi="宋体" w:cs="宋体"/>
                <w:szCs w:val="21"/>
              </w:rPr>
              <w:t>安全服务资质证书-风险评估类</w:t>
            </w:r>
            <w:r>
              <w:rPr>
                <w:rFonts w:ascii="宋体" w:hAnsi="宋体" w:cs="宋体"/>
                <w:szCs w:val="21"/>
              </w:rPr>
              <w:t>一</w:t>
            </w:r>
            <w:r>
              <w:rPr>
                <w:rFonts w:hint="eastAsia" w:ascii="宋体" w:hAnsi="宋体" w:cs="宋体"/>
                <w:szCs w:val="21"/>
              </w:rPr>
              <w:t>级</w:t>
            </w:r>
            <w:r>
              <w:rPr>
                <w:rFonts w:ascii="宋体" w:hAnsi="宋体" w:cs="宋体"/>
                <w:szCs w:val="21"/>
              </w:rPr>
              <w:t>资质得3分，二级资质得1分</w:t>
            </w:r>
            <w:r>
              <w:rPr>
                <w:rFonts w:hint="eastAsia" w:ascii="宋体" w:hAnsi="宋体" w:cs="宋体"/>
                <w:szCs w:val="21"/>
              </w:rPr>
              <w:t>，</w:t>
            </w:r>
            <w:r>
              <w:rPr>
                <w:rFonts w:ascii="宋体" w:hAnsi="宋体" w:cs="宋体"/>
                <w:szCs w:val="21"/>
              </w:rPr>
              <w:t>最高</w:t>
            </w:r>
            <w:r>
              <w:rPr>
                <w:rFonts w:hint="eastAsia" w:ascii="宋体" w:hAnsi="宋体" w:cs="宋体"/>
                <w:szCs w:val="21"/>
              </w:rPr>
              <w:t>得3分。</w:t>
            </w:r>
          </w:p>
          <w:p>
            <w:pPr>
              <w:pStyle w:val="4"/>
              <w:pBdr>
                <w:bottom w:val="none" w:color="auto" w:sz="0" w:space="0"/>
              </w:pBdr>
              <w:tabs>
                <w:tab w:val="left" w:pos="420"/>
              </w:tabs>
              <w:spacing w:line="360" w:lineRule="auto"/>
              <w:jc w:val="both"/>
              <w:rPr>
                <w:rFonts w:ascii="宋体" w:hAnsi="宋体" w:cs="宋体"/>
                <w:sz w:val="21"/>
                <w:szCs w:val="21"/>
              </w:rPr>
            </w:pPr>
            <w:r>
              <w:rPr>
                <w:rFonts w:hint="eastAsia" w:ascii="宋体" w:hAnsi="宋体" w:cs="宋体"/>
                <w:sz w:val="21"/>
                <w:szCs w:val="21"/>
              </w:rPr>
              <w:t>2</w:t>
            </w:r>
            <w:r>
              <w:rPr>
                <w:rFonts w:ascii="宋体" w:hAnsi="宋体" w:cs="宋体"/>
                <w:sz w:val="21"/>
                <w:szCs w:val="21"/>
              </w:rPr>
              <w:t>、</w:t>
            </w:r>
            <w:r>
              <w:rPr>
                <w:rFonts w:hint="eastAsia" w:ascii="宋体" w:hAnsi="宋体" w:cs="宋体"/>
                <w:sz w:val="21"/>
                <w:szCs w:val="21"/>
              </w:rPr>
              <w:t xml:space="preserve"> </w:t>
            </w:r>
            <w:r>
              <w:rPr>
                <w:rFonts w:ascii="宋体" w:hAnsi="宋体" w:cs="宋体"/>
                <w:sz w:val="21"/>
                <w:szCs w:val="21"/>
              </w:rPr>
              <w:t>属于</w:t>
            </w:r>
            <w:r>
              <w:rPr>
                <w:rFonts w:hint="eastAsia" w:ascii="宋体" w:hAnsi="宋体" w:cs="宋体"/>
                <w:sz w:val="21"/>
                <w:szCs w:val="21"/>
              </w:rPr>
              <w:t>国家信息</w:t>
            </w:r>
            <w:r>
              <w:rPr>
                <w:rFonts w:ascii="宋体" w:hAnsi="宋体" w:cs="宋体"/>
                <w:sz w:val="21"/>
                <w:szCs w:val="21"/>
              </w:rPr>
              <w:t>安全漏洞共享平台(</w:t>
            </w:r>
            <w:r>
              <w:rPr>
                <w:rFonts w:hint="eastAsia" w:ascii="宋体" w:hAnsi="宋体" w:cs="宋体"/>
                <w:sz w:val="21"/>
                <w:szCs w:val="21"/>
              </w:rPr>
              <w:t>CNVD</w:t>
            </w:r>
            <w:r>
              <w:rPr>
                <w:rFonts w:ascii="宋体" w:hAnsi="宋体" w:cs="宋体"/>
                <w:sz w:val="21"/>
                <w:szCs w:val="21"/>
              </w:rPr>
              <w:t>)</w:t>
            </w:r>
            <w:r>
              <w:rPr>
                <w:rFonts w:hint="eastAsia" w:ascii="宋体" w:hAnsi="宋体" w:cs="宋体"/>
                <w:sz w:val="21"/>
                <w:szCs w:val="21"/>
              </w:rPr>
              <w:t>用户组</w:t>
            </w:r>
            <w:r>
              <w:rPr>
                <w:rFonts w:ascii="宋体" w:hAnsi="宋体" w:cs="宋体"/>
                <w:sz w:val="21"/>
                <w:szCs w:val="21"/>
              </w:rPr>
              <w:t>成员</w:t>
            </w:r>
            <w:r>
              <w:rPr>
                <w:rFonts w:hint="eastAsia" w:ascii="宋体" w:hAnsi="宋体" w:cs="宋体"/>
                <w:sz w:val="21"/>
                <w:szCs w:val="21"/>
              </w:rPr>
              <w:t>，得</w:t>
            </w:r>
            <w:r>
              <w:rPr>
                <w:rFonts w:ascii="宋体" w:hAnsi="宋体" w:cs="宋体"/>
                <w:sz w:val="21"/>
                <w:szCs w:val="21"/>
              </w:rPr>
              <w:t>3</w:t>
            </w:r>
            <w:r>
              <w:rPr>
                <w:rFonts w:hint="eastAsia" w:ascii="宋体" w:hAnsi="宋体" w:cs="宋体"/>
                <w:sz w:val="21"/>
                <w:szCs w:val="21"/>
              </w:rPr>
              <w:t>分。</w:t>
            </w:r>
          </w:p>
          <w:p>
            <w:pPr>
              <w:widowControl/>
              <w:jc w:val="left"/>
              <w:rPr>
                <w:rFonts w:ascii="宋体" w:hAnsi="宋体" w:cs="宋体"/>
                <w:szCs w:val="21"/>
              </w:rPr>
            </w:pPr>
            <w:r>
              <w:rPr>
                <w:rFonts w:hint="eastAsia" w:ascii="宋体" w:hAnsi="宋体" w:cs="宋体"/>
                <w:szCs w:val="21"/>
              </w:rPr>
              <w:t>3</w:t>
            </w:r>
            <w:r>
              <w:rPr>
                <w:rFonts w:ascii="宋体" w:hAnsi="宋体" w:cs="宋体"/>
                <w:szCs w:val="21"/>
              </w:rPr>
              <w:t>、本项目涉及政务云环境的安全服务，需具备国家工信部要求的ITSS云计算服务能力标准符合性证书，</w:t>
            </w:r>
            <w:r>
              <w:rPr>
                <w:rFonts w:hint="eastAsia" w:ascii="宋体" w:hAnsi="宋体" w:cs="宋体"/>
                <w:szCs w:val="21"/>
              </w:rPr>
              <w:t>得3分。</w:t>
            </w:r>
          </w:p>
          <w:p>
            <w:pPr>
              <w:pStyle w:val="4"/>
              <w:pBdr>
                <w:bottom w:val="none" w:color="auto" w:sz="0" w:space="0"/>
              </w:pBdr>
              <w:tabs>
                <w:tab w:val="left" w:pos="420"/>
              </w:tabs>
              <w:spacing w:line="360" w:lineRule="auto"/>
              <w:jc w:val="both"/>
              <w:rPr>
                <w:rFonts w:ascii="宋体" w:hAnsi="宋体" w:cs="宋体"/>
                <w:sz w:val="21"/>
                <w:szCs w:val="21"/>
                <w:highlight w:val="yellow"/>
              </w:rPr>
            </w:pPr>
            <w:r>
              <w:rPr>
                <w:rFonts w:ascii="宋体" w:hAnsi="宋体" w:cs="宋体"/>
                <w:sz w:val="21"/>
                <w:szCs w:val="21"/>
              </w:rPr>
              <w:t>4、</w:t>
            </w:r>
            <w:r>
              <w:rPr>
                <w:rFonts w:hint="eastAsia" w:ascii="宋体" w:hAnsi="宋体" w:cs="宋体"/>
                <w:sz w:val="21"/>
                <w:szCs w:val="21"/>
              </w:rPr>
              <w:t>具有《国家级应急服务支撑单位证书》，得3分。</w:t>
            </w:r>
          </w:p>
          <w:p>
            <w:pPr>
              <w:pStyle w:val="4"/>
              <w:pBdr>
                <w:bottom w:val="none" w:color="auto" w:sz="0" w:space="0"/>
              </w:pBdr>
              <w:tabs>
                <w:tab w:val="left" w:pos="420"/>
              </w:tabs>
              <w:spacing w:line="360" w:lineRule="auto"/>
              <w:jc w:val="both"/>
              <w:rPr>
                <w:rFonts w:ascii="宋体" w:hAnsi="宋体" w:cs="宋体"/>
                <w:sz w:val="21"/>
                <w:szCs w:val="21"/>
              </w:rPr>
            </w:pPr>
            <w:r>
              <w:rPr>
                <w:rFonts w:hint="eastAsia" w:ascii="宋体" w:hAnsi="宋体" w:cs="宋体"/>
                <w:sz w:val="21"/>
                <w:szCs w:val="21"/>
              </w:rPr>
              <w:t>5</w:t>
            </w:r>
            <w:r>
              <w:rPr>
                <w:rFonts w:ascii="宋体" w:hAnsi="宋体" w:cs="宋体"/>
                <w:sz w:val="21"/>
                <w:szCs w:val="21"/>
              </w:rPr>
              <w:t>、</w:t>
            </w:r>
            <w:r>
              <w:rPr>
                <w:rFonts w:hint="eastAsia" w:ascii="宋体" w:hAnsi="宋体" w:cs="宋体"/>
                <w:sz w:val="21"/>
                <w:szCs w:val="21"/>
              </w:rPr>
              <w:t>应通过ISO20000的安全认证，认证范围包括向外部客户1提供整体安全解决方案，安全相关的运营服务，得</w:t>
            </w:r>
            <w:r>
              <w:rPr>
                <w:rFonts w:ascii="宋体" w:hAnsi="宋体" w:cs="宋体"/>
                <w:sz w:val="21"/>
                <w:szCs w:val="21"/>
              </w:rPr>
              <w:t>2</w:t>
            </w:r>
            <w:r>
              <w:rPr>
                <w:rFonts w:hint="eastAsia" w:ascii="宋体" w:hAnsi="宋体" w:cs="宋体"/>
                <w:sz w:val="21"/>
                <w:szCs w:val="21"/>
              </w:rPr>
              <w:t>分。</w:t>
            </w:r>
          </w:p>
          <w:p>
            <w:pPr>
              <w:pStyle w:val="4"/>
              <w:pBdr>
                <w:bottom w:val="none" w:color="auto" w:sz="0" w:space="0"/>
              </w:pBdr>
              <w:tabs>
                <w:tab w:val="left" w:pos="420"/>
              </w:tabs>
              <w:spacing w:line="360" w:lineRule="auto"/>
              <w:jc w:val="both"/>
              <w:rPr>
                <w:rFonts w:ascii="宋体" w:hAnsi="宋体" w:cs="宋体"/>
                <w:sz w:val="21"/>
                <w:szCs w:val="21"/>
              </w:rPr>
            </w:pPr>
            <w:r>
              <w:rPr>
                <w:rFonts w:hint="eastAsia" w:ascii="宋体" w:hAnsi="宋体" w:cs="宋体"/>
                <w:sz w:val="21"/>
                <w:szCs w:val="21"/>
              </w:rPr>
              <w:t>6</w:t>
            </w:r>
            <w:r>
              <w:rPr>
                <w:rFonts w:ascii="宋体" w:hAnsi="宋体" w:cs="宋体"/>
                <w:sz w:val="21"/>
                <w:szCs w:val="21"/>
              </w:rPr>
              <w:t>、</w:t>
            </w:r>
            <w:r>
              <w:rPr>
                <w:rFonts w:hint="eastAsia" w:ascii="宋体" w:hAnsi="宋体" w:cs="宋体"/>
                <w:sz w:val="21"/>
                <w:szCs w:val="21"/>
              </w:rPr>
              <w:t>具有中国信息安全测评中心颁发的国家信息安全漏洞库(CNNVD)技术支撑单位证书，得2分。</w:t>
            </w:r>
          </w:p>
          <w:p>
            <w:pPr>
              <w:spacing w:line="360" w:lineRule="auto"/>
              <w:ind w:firstLine="664"/>
              <w:jc w:val="left"/>
              <w:rPr>
                <w:rFonts w:ascii="宋体" w:hAnsi="宋体" w:cs="宋体"/>
                <w:szCs w:val="21"/>
              </w:rPr>
            </w:pPr>
            <w:r>
              <w:rPr>
                <w:rFonts w:hint="eastAsia" w:ascii="宋体" w:hAnsi="宋体" w:cs="宋体"/>
                <w:szCs w:val="21"/>
              </w:rPr>
              <w:t>以上6项累计计分，满分为16分。</w:t>
            </w:r>
          </w:p>
          <w:p>
            <w:pPr>
              <w:pStyle w:val="4"/>
              <w:pBdr>
                <w:bottom w:val="none" w:color="auto" w:sz="0" w:space="0"/>
              </w:pBdr>
              <w:tabs>
                <w:tab w:val="left" w:pos="420"/>
              </w:tabs>
              <w:spacing w:line="360" w:lineRule="auto"/>
              <w:jc w:val="left"/>
              <w:rPr>
                <w:rFonts w:ascii="宋体" w:hAnsi="宋体" w:cs="宋体"/>
                <w:b/>
                <w:sz w:val="21"/>
                <w:szCs w:val="21"/>
              </w:rPr>
            </w:pPr>
            <w:r>
              <w:rPr>
                <w:rFonts w:hint="eastAsia" w:ascii="宋体" w:hAnsi="宋体" w:cs="宋体"/>
                <w:b/>
                <w:sz w:val="21"/>
                <w:szCs w:val="21"/>
              </w:rPr>
              <w:t>证明文件：</w:t>
            </w:r>
          </w:p>
          <w:p>
            <w:pPr>
              <w:spacing w:line="360" w:lineRule="auto"/>
              <w:ind w:firstLine="664"/>
              <w:jc w:val="left"/>
              <w:rPr>
                <w:rFonts w:ascii="宋体" w:hAnsi="宋体" w:cs="宋体"/>
                <w:szCs w:val="21"/>
              </w:rPr>
            </w:pPr>
            <w:r>
              <w:rPr>
                <w:rFonts w:hint="eastAsia" w:ascii="宋体" w:hAnsi="宋体" w:cs="宋体"/>
                <w:szCs w:val="21"/>
              </w:rPr>
              <w:t>要求提供有效证书复印件或扫描件加盖公章（原件备查），不提供不得分。</w:t>
            </w:r>
          </w:p>
        </w:tc>
        <w:tc>
          <w:tcPr>
            <w:tcW w:w="1117" w:type="dxa"/>
            <w:noWrap w:val="0"/>
            <w:vAlign w:val="center"/>
          </w:tcPr>
          <w:p>
            <w:pPr>
              <w:autoSpaceDE w:val="0"/>
              <w:autoSpaceDN w:val="0"/>
              <w:adjustRightInd w:val="0"/>
              <w:spacing w:line="360" w:lineRule="auto"/>
              <w:rPr>
                <w:rFonts w:ascii="宋体" w:hAnsi="宋体" w:cs="宋体"/>
                <w:szCs w:val="21"/>
                <w:lang w:val="zh-CN"/>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673"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22</w:t>
            </w:r>
          </w:p>
        </w:tc>
        <w:tc>
          <w:tcPr>
            <w:tcW w:w="1212" w:type="dxa"/>
            <w:noWrap w:val="0"/>
            <w:vAlign w:val="center"/>
          </w:tcPr>
          <w:p>
            <w:pPr>
              <w:spacing w:line="360" w:lineRule="auto"/>
              <w:rPr>
                <w:rFonts w:ascii="宋体" w:hAnsi="宋体" w:cs="宋体"/>
                <w:szCs w:val="21"/>
              </w:rPr>
            </w:pPr>
            <w:r>
              <w:rPr>
                <w:rFonts w:hint="eastAsia" w:ascii="宋体" w:hAnsi="宋体" w:cs="宋体"/>
                <w:szCs w:val="21"/>
              </w:rPr>
              <w:t>同类业绩</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4</w:t>
            </w:r>
            <w:r>
              <w:rPr>
                <w:rFonts w:ascii="宋体" w:hAnsi="宋体" w:cs="宋体"/>
                <w:szCs w:val="21"/>
              </w:rPr>
              <w:t>5</w:t>
            </w:r>
          </w:p>
        </w:tc>
        <w:tc>
          <w:tcPr>
            <w:tcW w:w="5476" w:type="dxa"/>
            <w:noWrap w:val="0"/>
            <w:vAlign w:val="center"/>
          </w:tcPr>
          <w:p>
            <w:pPr>
              <w:pStyle w:val="4"/>
              <w:pBdr>
                <w:bottom w:val="none" w:color="auto" w:sz="0" w:space="0"/>
              </w:pBdr>
              <w:tabs>
                <w:tab w:val="left" w:pos="420"/>
              </w:tabs>
              <w:spacing w:line="360" w:lineRule="auto"/>
              <w:jc w:val="left"/>
              <w:rPr>
                <w:rFonts w:ascii="宋体" w:hAnsi="宋体" w:cs="宋体"/>
                <w:sz w:val="21"/>
                <w:szCs w:val="21"/>
              </w:rPr>
            </w:pPr>
            <w:r>
              <w:rPr>
                <w:rFonts w:hint="eastAsia" w:ascii="宋体" w:hAnsi="宋体" w:cs="宋体"/>
                <w:b/>
                <w:color w:val="000000"/>
                <w:sz w:val="21"/>
                <w:szCs w:val="21"/>
              </w:rPr>
              <w:t>评分标</w:t>
            </w:r>
            <w:r>
              <w:rPr>
                <w:rFonts w:hint="eastAsia" w:ascii="宋体" w:hAnsi="宋体" w:cs="宋体"/>
                <w:b/>
                <w:sz w:val="21"/>
                <w:szCs w:val="21"/>
              </w:rPr>
              <w:t>准：</w:t>
            </w:r>
            <w:r>
              <w:rPr>
                <w:rFonts w:hint="eastAsia" w:ascii="宋体" w:hAnsi="宋体" w:cs="宋体"/>
                <w:sz w:val="21"/>
                <w:szCs w:val="21"/>
              </w:rPr>
              <w:t>投标人近三年（201</w:t>
            </w:r>
            <w:r>
              <w:rPr>
                <w:rFonts w:hint="eastAsia" w:ascii="宋体" w:hAnsi="宋体" w:cs="宋体"/>
                <w:sz w:val="21"/>
                <w:szCs w:val="21"/>
                <w:lang w:val="en-US" w:eastAsia="zh-CN"/>
              </w:rPr>
              <w:t>8</w:t>
            </w:r>
            <w:r>
              <w:rPr>
                <w:rFonts w:hint="eastAsia" w:ascii="宋体" w:hAnsi="宋体" w:cs="宋体"/>
                <w:sz w:val="21"/>
                <w:szCs w:val="21"/>
              </w:rPr>
              <w:t>年</w:t>
            </w:r>
            <w:r>
              <w:rPr>
                <w:rFonts w:hint="eastAsia" w:ascii="宋体" w:hAnsi="宋体" w:cs="宋体"/>
                <w:sz w:val="21"/>
                <w:szCs w:val="21"/>
                <w:lang w:val="en-US" w:eastAsia="zh-CN"/>
              </w:rPr>
              <w:t>5</w:t>
            </w:r>
            <w:r>
              <w:rPr>
                <w:rFonts w:hint="eastAsia" w:ascii="宋体" w:hAnsi="宋体" w:cs="宋体"/>
                <w:sz w:val="21"/>
                <w:szCs w:val="21"/>
              </w:rPr>
              <w:t>月至投标截止日前，以合同签订时间为准）承担过国家级重大保障活动的</w:t>
            </w:r>
            <w:r>
              <w:rPr>
                <w:rFonts w:ascii="宋体" w:hAnsi="宋体" w:cs="宋体"/>
                <w:sz w:val="21"/>
                <w:szCs w:val="21"/>
              </w:rPr>
              <w:t>经验</w:t>
            </w:r>
            <w:r>
              <w:rPr>
                <w:rFonts w:hint="eastAsia" w:ascii="宋体" w:hAnsi="宋体" w:cs="宋体"/>
                <w:sz w:val="21"/>
                <w:szCs w:val="21"/>
              </w:rPr>
              <w:t>，提供不少于</w:t>
            </w:r>
            <w:r>
              <w:rPr>
                <w:rFonts w:ascii="宋体" w:hAnsi="宋体" w:cs="宋体"/>
                <w:sz w:val="21"/>
                <w:szCs w:val="21"/>
              </w:rPr>
              <w:t>5</w:t>
            </w:r>
            <w:r>
              <w:rPr>
                <w:rFonts w:hint="eastAsia" w:ascii="宋体" w:hAnsi="宋体" w:cs="宋体"/>
                <w:sz w:val="21"/>
                <w:szCs w:val="21"/>
              </w:rPr>
              <w:t>个国家级重大安全保障活动相关部门的表扬信。国家级重大安全保障活动如G20、、海军成立70周年多国海军活动等的，每个得分1分，最多得</w:t>
            </w:r>
            <w:r>
              <w:rPr>
                <w:rFonts w:ascii="宋体" w:hAnsi="宋体" w:cs="宋体"/>
                <w:sz w:val="21"/>
                <w:szCs w:val="21"/>
              </w:rPr>
              <w:t>5</w:t>
            </w:r>
            <w:r>
              <w:rPr>
                <w:rFonts w:hint="eastAsia" w:ascii="宋体" w:hAnsi="宋体" w:cs="宋体"/>
                <w:sz w:val="21"/>
                <w:szCs w:val="21"/>
              </w:rPr>
              <w:t>分</w:t>
            </w:r>
            <w:r>
              <w:rPr>
                <w:rFonts w:ascii="宋体" w:hAnsi="宋体" w:cs="宋体"/>
                <w:sz w:val="21"/>
                <w:szCs w:val="21"/>
              </w:rPr>
              <w:t>。</w:t>
            </w:r>
          </w:p>
          <w:p>
            <w:pPr>
              <w:pStyle w:val="4"/>
              <w:pBdr>
                <w:bottom w:val="none" w:color="auto" w:sz="0" w:space="0"/>
              </w:pBdr>
              <w:tabs>
                <w:tab w:val="left" w:pos="420"/>
              </w:tabs>
              <w:spacing w:line="360" w:lineRule="auto"/>
              <w:jc w:val="left"/>
              <w:rPr>
                <w:rFonts w:ascii="宋体" w:hAnsi="宋体" w:cs="宋体"/>
                <w:b/>
                <w:sz w:val="21"/>
                <w:szCs w:val="21"/>
              </w:rPr>
            </w:pPr>
            <w:r>
              <w:rPr>
                <w:rFonts w:hint="eastAsia" w:ascii="宋体" w:hAnsi="宋体" w:cs="宋体"/>
                <w:b/>
                <w:sz w:val="21"/>
                <w:szCs w:val="21"/>
              </w:rPr>
              <w:t>证明文件：</w:t>
            </w:r>
            <w:bookmarkStart w:id="3" w:name="_GoBack"/>
            <w:bookmarkEnd w:id="3"/>
          </w:p>
          <w:p>
            <w:pPr>
              <w:spacing w:line="360" w:lineRule="auto"/>
              <w:ind w:firstLine="664"/>
              <w:rPr>
                <w:rFonts w:ascii="宋体" w:hAnsi="宋体" w:cs="宋体"/>
                <w:kern w:val="0"/>
                <w:szCs w:val="21"/>
              </w:rPr>
            </w:pPr>
            <w:r>
              <w:rPr>
                <w:rFonts w:hint="eastAsia" w:ascii="宋体" w:hAnsi="宋体" w:cs="宋体"/>
                <w:szCs w:val="21"/>
              </w:rPr>
              <w:t>要求提供</w:t>
            </w:r>
            <w:r>
              <w:rPr>
                <w:rFonts w:ascii="宋体" w:hAnsi="宋体" w:cs="宋体"/>
                <w:szCs w:val="21"/>
              </w:rPr>
              <w:t>原件复印件</w:t>
            </w:r>
            <w:r>
              <w:rPr>
                <w:rFonts w:hint="eastAsia" w:ascii="宋体" w:hAnsi="宋体" w:cs="宋体"/>
                <w:szCs w:val="21"/>
              </w:rPr>
              <w:t>加盖公章，否则不得分</w:t>
            </w:r>
          </w:p>
        </w:tc>
        <w:tc>
          <w:tcPr>
            <w:tcW w:w="1117" w:type="dxa"/>
            <w:noWrap w:val="0"/>
            <w:vAlign w:val="center"/>
          </w:tcPr>
          <w:p>
            <w:pPr>
              <w:autoSpaceDE w:val="0"/>
              <w:autoSpaceDN w:val="0"/>
              <w:adjustRightInd w:val="0"/>
              <w:spacing w:line="360" w:lineRule="auto"/>
              <w:rPr>
                <w:rFonts w:ascii="宋体" w:hAnsi="宋体" w:cs="宋体"/>
                <w:szCs w:val="21"/>
                <w:lang w:val="zh-CN"/>
              </w:rPr>
            </w:pPr>
            <w:r>
              <w:rPr>
                <w:rFonts w:hint="eastAsia" w:ascii="宋体" w:hAnsi="宋体" w:cs="宋体"/>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673" w:type="dxa"/>
            <w:noWrap w:val="0"/>
            <w:vAlign w:val="center"/>
          </w:tcPr>
          <w:p>
            <w:pPr>
              <w:pStyle w:val="9"/>
              <w:spacing w:line="360" w:lineRule="auto"/>
              <w:ind w:firstLine="0" w:firstLineChars="0"/>
              <w:jc w:val="center"/>
              <w:rPr>
                <w:rFonts w:ascii="宋体" w:eastAsia="宋体" w:cs="宋体"/>
                <w:sz w:val="21"/>
                <w:szCs w:val="21"/>
              </w:rPr>
            </w:pPr>
            <w:r>
              <w:rPr>
                <w:rFonts w:hint="eastAsia" w:ascii="宋体" w:eastAsia="宋体" w:cs="宋体"/>
                <w:sz w:val="21"/>
                <w:szCs w:val="21"/>
              </w:rPr>
              <w:t>3</w:t>
            </w:r>
          </w:p>
        </w:tc>
        <w:tc>
          <w:tcPr>
            <w:tcW w:w="1212" w:type="dxa"/>
            <w:noWrap w:val="0"/>
            <w:vAlign w:val="center"/>
          </w:tcPr>
          <w:p>
            <w:pPr>
              <w:spacing w:line="360" w:lineRule="auto"/>
              <w:rPr>
                <w:rFonts w:ascii="宋体" w:hAnsi="宋体" w:cs="宋体"/>
                <w:color w:val="000000"/>
                <w:szCs w:val="21"/>
              </w:rPr>
            </w:pPr>
            <w:r>
              <w:rPr>
                <w:rFonts w:hint="eastAsia" w:ascii="宋体" w:hAnsi="宋体" w:cs="宋体"/>
                <w:szCs w:val="21"/>
                <w:lang w:val="en-GB"/>
              </w:rPr>
              <w:t>安全服务技术团队力量</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5</w:t>
            </w:r>
            <w:r>
              <w:rPr>
                <w:rFonts w:ascii="宋体" w:hAnsi="宋体" w:cs="宋体"/>
                <w:szCs w:val="21"/>
              </w:rPr>
              <w:t>6</w:t>
            </w:r>
          </w:p>
        </w:tc>
        <w:tc>
          <w:tcPr>
            <w:tcW w:w="5476" w:type="dxa"/>
            <w:noWrap w:val="0"/>
            <w:vAlign w:val="center"/>
          </w:tcPr>
          <w:p>
            <w:pPr>
              <w:widowControl/>
              <w:spacing w:line="360" w:lineRule="auto"/>
              <w:jc w:val="left"/>
              <w:rPr>
                <w:rFonts w:ascii="宋体" w:hAnsi="宋体" w:cs="宋体"/>
                <w:kern w:val="0"/>
                <w:szCs w:val="21"/>
              </w:rPr>
            </w:pPr>
            <w:r>
              <w:rPr>
                <w:rFonts w:hint="eastAsia" w:ascii="宋体" w:hAnsi="宋体" w:cs="宋体"/>
                <w:bCs/>
                <w:kern w:val="0"/>
                <w:szCs w:val="21"/>
              </w:rPr>
              <w:t>1、项目经理（1人）：熟悉各类信息安全体系架构，</w:t>
            </w:r>
            <w:r>
              <w:rPr>
                <w:rFonts w:hint="eastAsia" w:ascii="宋体" w:hAnsi="宋体" w:cs="宋体"/>
                <w:kern w:val="0"/>
                <w:szCs w:val="21"/>
              </w:rPr>
              <w:t>为计算机专业的基础上，本科以上学历，</w:t>
            </w:r>
            <w:r>
              <w:rPr>
                <w:rFonts w:ascii="宋体" w:hAnsi="宋体" w:cs="宋体"/>
                <w:kern w:val="0"/>
                <w:szCs w:val="21"/>
              </w:rPr>
              <w:t>具</w:t>
            </w:r>
            <w:r>
              <w:rPr>
                <w:rFonts w:ascii="宋体" w:hAnsi="宋体" w:cs="宋体"/>
                <w:bCs/>
                <w:kern w:val="0"/>
                <w:szCs w:val="21"/>
              </w:rPr>
              <w:t>备</w:t>
            </w:r>
            <w:r>
              <w:rPr>
                <w:rFonts w:hint="eastAsia" w:ascii="宋体" w:hAnsi="宋体" w:cs="宋体"/>
                <w:bCs/>
                <w:kern w:val="0"/>
                <w:szCs w:val="21"/>
              </w:rPr>
              <w:t>CISSP、PMP、CCSP、CISAW、CISP中的至少四个证书，并提供证书复印件，得</w:t>
            </w:r>
            <w:r>
              <w:rPr>
                <w:rFonts w:ascii="宋体" w:hAnsi="宋体" w:cs="宋体"/>
                <w:bCs/>
                <w:kern w:val="0"/>
                <w:szCs w:val="21"/>
              </w:rPr>
              <w:t>3</w:t>
            </w:r>
            <w:r>
              <w:rPr>
                <w:rFonts w:hint="eastAsia" w:ascii="宋体" w:hAnsi="宋体" w:cs="宋体"/>
                <w:bCs/>
                <w:kern w:val="0"/>
                <w:szCs w:val="21"/>
              </w:rPr>
              <w:t>分；</w:t>
            </w:r>
            <w:r>
              <w:rPr>
                <w:rFonts w:hint="eastAsia" w:ascii="宋体" w:hAnsi="宋体" w:cs="宋体"/>
                <w:kern w:val="0"/>
                <w:szCs w:val="21"/>
              </w:rPr>
              <w:t>具有</w:t>
            </w:r>
            <w:r>
              <w:rPr>
                <w:rFonts w:ascii="宋体" w:hAnsi="宋体" w:cs="宋体"/>
                <w:kern w:val="0"/>
                <w:szCs w:val="21"/>
              </w:rPr>
              <w:t>5-</w:t>
            </w:r>
            <w:r>
              <w:rPr>
                <w:rFonts w:hint="eastAsia" w:ascii="宋体" w:hAnsi="宋体" w:cs="宋体"/>
                <w:kern w:val="0"/>
                <w:szCs w:val="21"/>
              </w:rPr>
              <w:t>10年或以上网络安全类工作经验的得1分。</w:t>
            </w:r>
          </w:p>
          <w:p>
            <w:pPr>
              <w:spacing w:line="360" w:lineRule="auto"/>
              <w:rPr>
                <w:rFonts w:ascii="宋体" w:hAnsi="宋体" w:cs="宋体"/>
                <w:szCs w:val="21"/>
              </w:rPr>
            </w:pPr>
            <w:r>
              <w:rPr>
                <w:rFonts w:hint="eastAsia" w:ascii="宋体" w:hAnsi="宋体" w:cs="宋体"/>
                <w:kern w:val="0"/>
                <w:szCs w:val="21"/>
              </w:rPr>
              <w:t>2、</w:t>
            </w:r>
            <w:r>
              <w:rPr>
                <w:rFonts w:hint="eastAsia" w:ascii="宋体" w:hAnsi="宋体" w:cs="宋体"/>
                <w:szCs w:val="21"/>
                <w:lang w:val="en-GB"/>
              </w:rPr>
              <w:t>安全服务技术团队：</w:t>
            </w:r>
            <w:r>
              <w:rPr>
                <w:rFonts w:hint="eastAsia" w:ascii="宋体" w:hAnsi="宋体" w:cs="宋体"/>
                <w:szCs w:val="21"/>
              </w:rPr>
              <w:t>提供投标人在广东省内进行信息安全服务的，并获得了CISSP、CISP、CISA等其中一项资质证书的人员清单，满足要求条件的人数达15人以上得3分；满足要求条件的人数达10人-14人以上得1分；满足要求条件的人数10人以下得0分。</w:t>
            </w:r>
          </w:p>
          <w:p>
            <w:pPr>
              <w:spacing w:line="360" w:lineRule="auto"/>
              <w:jc w:val="left"/>
              <w:rPr>
                <w:rFonts w:ascii="宋体" w:hAnsi="宋体" w:cs="宋体"/>
                <w:b/>
                <w:kern w:val="0"/>
                <w:szCs w:val="21"/>
              </w:rPr>
            </w:pPr>
            <w:r>
              <w:rPr>
                <w:rFonts w:hint="eastAsia" w:ascii="宋体" w:hAnsi="宋体" w:cs="宋体"/>
                <w:b/>
                <w:kern w:val="0"/>
                <w:szCs w:val="21"/>
              </w:rPr>
              <w:t>证明文件：</w:t>
            </w:r>
          </w:p>
          <w:p>
            <w:pPr>
              <w:spacing w:line="360" w:lineRule="auto"/>
              <w:ind w:firstLine="664"/>
              <w:rPr>
                <w:rFonts w:ascii="宋体" w:hAnsi="宋体" w:cs="宋体"/>
                <w:szCs w:val="21"/>
              </w:rPr>
            </w:pPr>
            <w:r>
              <w:rPr>
                <w:rFonts w:hint="eastAsia" w:ascii="宋体" w:hAnsi="宋体" w:cs="宋体"/>
                <w:kern w:val="0"/>
                <w:szCs w:val="21"/>
              </w:rPr>
              <w:t>需提供项目经理学历证书复印件或扫描件并加盖公章（原件备查），聘用合同，可为单份或多份合同复印件或扫描件并加盖公章（原件备查），能证明网络安全类岗位工作经验；服务团队成员需提供有效资质证书复印件或扫描件；</w:t>
            </w:r>
            <w:r>
              <w:rPr>
                <w:rFonts w:hint="eastAsia" w:ascii="宋体" w:hAnsi="宋体" w:cs="宋体"/>
                <w:szCs w:val="21"/>
              </w:rPr>
              <w:t>提供上述人员在本公司任职的证明材料</w:t>
            </w:r>
          </w:p>
        </w:tc>
        <w:tc>
          <w:tcPr>
            <w:tcW w:w="1117" w:type="dxa"/>
            <w:noWrap w:val="0"/>
            <w:vAlign w:val="center"/>
          </w:tcPr>
          <w:p>
            <w:pPr>
              <w:pStyle w:val="9"/>
              <w:spacing w:line="360" w:lineRule="auto"/>
              <w:ind w:firstLine="0" w:firstLineChars="0"/>
              <w:jc w:val="center"/>
              <w:rPr>
                <w:rFonts w:ascii="宋体" w:eastAsia="宋体" w:cs="宋体"/>
                <w:sz w:val="21"/>
                <w:szCs w:val="21"/>
              </w:rPr>
            </w:pPr>
            <w:r>
              <w:rPr>
                <w:rFonts w:hint="eastAsia" w:ascii="宋体" w:eastAsia="宋体" w:cs="宋体"/>
                <w:sz w:val="21"/>
                <w:szCs w:val="21"/>
                <w:lang w:val="zh-CN"/>
              </w:rPr>
              <w:t>评委打分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673" w:type="dxa"/>
            <w:noWrap w:val="0"/>
            <w:vAlign w:val="center"/>
          </w:tcPr>
          <w:p>
            <w:pPr>
              <w:pStyle w:val="9"/>
              <w:spacing w:line="360" w:lineRule="auto"/>
              <w:ind w:firstLine="0" w:firstLineChars="0"/>
              <w:jc w:val="center"/>
              <w:rPr>
                <w:rFonts w:ascii="宋体" w:eastAsia="宋体" w:cs="宋体"/>
                <w:sz w:val="21"/>
                <w:szCs w:val="21"/>
              </w:rPr>
            </w:pPr>
            <w:r>
              <w:rPr>
                <w:rFonts w:hint="eastAsia" w:ascii="宋体" w:eastAsia="宋体" w:cs="宋体"/>
                <w:sz w:val="21"/>
                <w:szCs w:val="21"/>
              </w:rPr>
              <w:t>4</w:t>
            </w:r>
          </w:p>
        </w:tc>
        <w:tc>
          <w:tcPr>
            <w:tcW w:w="1212" w:type="dxa"/>
            <w:noWrap w:val="0"/>
            <w:vAlign w:val="center"/>
          </w:tcPr>
          <w:p>
            <w:pPr>
              <w:spacing w:line="360" w:lineRule="auto"/>
              <w:rPr>
                <w:rFonts w:ascii="宋体" w:hAnsi="宋体" w:cs="宋体"/>
                <w:szCs w:val="21"/>
                <w:lang w:val="en-GB"/>
              </w:rPr>
            </w:pPr>
            <w:r>
              <w:rPr>
                <w:rFonts w:hint="eastAsia" w:ascii="宋体" w:hAnsi="宋体" w:cs="宋体"/>
                <w:szCs w:val="21"/>
                <w:lang w:val="en-GB"/>
              </w:rPr>
              <w:t>常驻人员</w:t>
            </w:r>
          </w:p>
        </w:tc>
        <w:tc>
          <w:tcPr>
            <w:tcW w:w="787" w:type="dxa"/>
            <w:noWrap w:val="0"/>
            <w:vAlign w:val="center"/>
          </w:tcPr>
          <w:p>
            <w:pPr>
              <w:spacing w:line="360" w:lineRule="auto"/>
              <w:ind w:firstLine="664"/>
              <w:jc w:val="center"/>
              <w:rPr>
                <w:rFonts w:ascii="宋体" w:hAnsi="宋体" w:cs="宋体"/>
                <w:szCs w:val="21"/>
              </w:rPr>
            </w:pPr>
            <w:r>
              <w:rPr>
                <w:rFonts w:hint="eastAsia" w:ascii="宋体" w:hAnsi="宋体" w:cs="宋体"/>
                <w:szCs w:val="21"/>
              </w:rPr>
              <w:t>5</w:t>
            </w:r>
            <w:r>
              <w:rPr>
                <w:rFonts w:ascii="宋体" w:hAnsi="宋体" w:cs="宋体"/>
                <w:szCs w:val="21"/>
              </w:rPr>
              <w:t>3</w:t>
            </w:r>
          </w:p>
        </w:tc>
        <w:tc>
          <w:tcPr>
            <w:tcW w:w="5476" w:type="dxa"/>
            <w:noWrap w:val="0"/>
            <w:vAlign w:val="center"/>
          </w:tcPr>
          <w:p>
            <w:pPr>
              <w:spacing w:line="360" w:lineRule="auto"/>
              <w:rPr>
                <w:rFonts w:ascii="宋体" w:hAnsi="宋体" w:cs="宋体"/>
                <w:szCs w:val="21"/>
              </w:rPr>
            </w:pPr>
            <w:r>
              <w:rPr>
                <w:rFonts w:hint="eastAsia" w:ascii="宋体" w:hAnsi="宋体" w:cs="宋体"/>
                <w:szCs w:val="21"/>
              </w:rPr>
              <w:t>投入本项目的常驻人员评价：</w:t>
            </w:r>
          </w:p>
          <w:p>
            <w:pPr>
              <w:pStyle w:val="5"/>
              <w:spacing w:line="380" w:lineRule="atLeast"/>
              <w:rPr>
                <w:rFonts w:cs="宋体"/>
                <w:color w:val="auto"/>
                <w:szCs w:val="21"/>
              </w:rPr>
            </w:pPr>
            <w:r>
              <w:rPr>
                <w:rFonts w:cs="宋体"/>
                <w:szCs w:val="21"/>
              </w:rPr>
              <w:t>1</w:t>
            </w:r>
            <w:r>
              <w:rPr>
                <w:rFonts w:hint="eastAsia" w:cs="宋体"/>
                <w:color w:val="auto"/>
                <w:kern w:val="2"/>
                <w:sz w:val="21"/>
                <w:szCs w:val="21"/>
              </w:rPr>
              <w:t>、常驻人员具有安全类资质证书CISSP，CISP，PMP，ISO27001其中一个证书，得0.5分，否则不得分；本项最高得2分。</w:t>
            </w:r>
          </w:p>
          <w:p>
            <w:pPr>
              <w:spacing w:line="360" w:lineRule="auto"/>
              <w:rPr>
                <w:rFonts w:ascii="宋体" w:hAnsi="宋体" w:cs="宋体"/>
                <w:szCs w:val="21"/>
              </w:rPr>
            </w:pPr>
            <w:r>
              <w:rPr>
                <w:rFonts w:ascii="宋体" w:hAnsi="宋体" w:cs="宋体"/>
                <w:szCs w:val="21"/>
              </w:rPr>
              <w:t>2</w:t>
            </w:r>
            <w:r>
              <w:rPr>
                <w:rFonts w:hint="eastAsia" w:ascii="宋体" w:hAnsi="宋体" w:cs="宋体"/>
                <w:szCs w:val="21"/>
              </w:rPr>
              <w:t>、常驻人员具有两年或以上安全类工作经验（以首次获得CISP或者CISSP证书的时间为依据），得1分</w:t>
            </w:r>
            <w:r>
              <w:rPr>
                <w:rFonts w:ascii="宋体" w:hAnsi="宋体" w:cs="宋体"/>
                <w:szCs w:val="21"/>
              </w:rPr>
              <w:t>。</w:t>
            </w:r>
          </w:p>
          <w:p>
            <w:pPr>
              <w:widowControl/>
              <w:spacing w:line="360" w:lineRule="auto"/>
              <w:jc w:val="left"/>
              <w:rPr>
                <w:rFonts w:ascii="宋体" w:hAnsi="宋体" w:cs="宋体"/>
                <w:szCs w:val="21"/>
                <w:lang w:val="en-GB"/>
              </w:rPr>
            </w:pPr>
            <w:r>
              <w:rPr>
                <w:rFonts w:hint="eastAsia" w:ascii="宋体" w:hAnsi="宋体" w:cs="宋体"/>
                <w:szCs w:val="21"/>
                <w:lang w:val="en-GB"/>
              </w:rPr>
              <w:t>须提供上述人员在本公司任职的外部证明材料（加盖社保部门印章的打印日期在本项目投标截止日之前六个月以内的《投保单》或《社会保险参保人员证明》复印件）</w:t>
            </w:r>
          </w:p>
          <w:p>
            <w:pPr>
              <w:widowControl/>
              <w:spacing w:line="360" w:lineRule="auto"/>
              <w:jc w:val="left"/>
              <w:rPr>
                <w:rFonts w:ascii="宋体" w:hAnsi="宋体" w:cs="宋体"/>
                <w:color w:val="FF0000"/>
                <w:szCs w:val="21"/>
              </w:rPr>
            </w:pPr>
          </w:p>
        </w:tc>
        <w:tc>
          <w:tcPr>
            <w:tcW w:w="1117" w:type="dxa"/>
            <w:noWrap w:val="0"/>
            <w:vAlign w:val="center"/>
          </w:tcPr>
          <w:p>
            <w:pPr>
              <w:pStyle w:val="9"/>
              <w:spacing w:line="360" w:lineRule="auto"/>
              <w:ind w:firstLine="0" w:firstLineChars="0"/>
              <w:jc w:val="center"/>
              <w:rPr>
                <w:rFonts w:ascii="宋体" w:eastAsia="宋体" w:cs="宋体"/>
                <w:sz w:val="21"/>
                <w:szCs w:val="21"/>
                <w:lang w:val="zh-CN"/>
              </w:rPr>
            </w:pPr>
            <w:r>
              <w:rPr>
                <w:rFonts w:hint="eastAsia" w:ascii="宋体" w:eastAsia="宋体" w:cs="宋体"/>
                <w:sz w:val="21"/>
                <w:szCs w:val="21"/>
                <w:lang w:val="zh-CN"/>
              </w:rPr>
              <w:t>评委打分</w:t>
            </w:r>
          </w:p>
        </w:tc>
      </w:tr>
    </w:tbl>
    <w:p/>
    <w:bookmarkEnd w:id="0"/>
    <w:bookmarkEnd w:id="1"/>
    <w:bookmarkEnd w:id="2"/>
    <w:p>
      <w:pPr>
        <w:pStyle w:val="2"/>
        <w:spacing w:before="120" w:beforeLines="50" w:line="360" w:lineRule="auto"/>
        <w:ind w:firstLine="0"/>
        <w:rPr>
          <w:rFonts w:hint="eastAsia" w:ascii="宋体" w:hAnsi="宋体" w:cs="仿宋"/>
          <w:color w:val="000000"/>
          <w:szCs w:val="21"/>
        </w:rPr>
      </w:pPr>
      <w:r>
        <w:rPr>
          <w:rFonts w:hint="eastAsia" w:ascii="宋体" w:hAnsi="宋体" w:cs="仿宋"/>
          <w:color w:val="000000"/>
          <w:szCs w:val="21"/>
        </w:rPr>
        <w:t>注：各评委按规定的范围内进行量化打分，并统计总分；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3839CD"/>
    <w:rsid w:val="2D381A3F"/>
    <w:rsid w:val="49E82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Plain Text"/>
    <w:basedOn w:val="1"/>
    <w:qFormat/>
    <w:uiPriority w:val="0"/>
    <w:rPr>
      <w:rFonts w:ascii="宋体" w:hAnsi="Courier New" w:cs="Courier New"/>
      <w:szCs w:val="21"/>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8">
    <w:name w:val="Strong"/>
    <w:qFormat/>
    <w:uiPriority w:val="0"/>
    <w:rPr>
      <w:b/>
      <w:bCs/>
    </w:rPr>
  </w:style>
  <w:style w:type="paragraph" w:customStyle="1" w:styleId="9">
    <w:name w:val="正文缩进2格"/>
    <w:basedOn w:val="1"/>
    <w:qFormat/>
    <w:uiPriority w:val="0"/>
    <w:pPr>
      <w:spacing w:line="600" w:lineRule="exact"/>
      <w:ind w:firstLine="206" w:firstLineChars="206"/>
    </w:pPr>
    <w:rPr>
      <w:rFonts w:ascii="仿宋_GB2312" w:hAnsi="宋体" w:eastAsia="仿宋_GB2312"/>
      <w:sz w:val="31"/>
      <w:szCs w:val="28"/>
    </w:rPr>
  </w:style>
  <w:style w:type="paragraph" w:customStyle="1" w:styleId="10">
    <w:name w:val="p1"/>
    <w:basedOn w:val="1"/>
    <w:qFormat/>
    <w:uiPriority w:val="0"/>
    <w:pPr>
      <w:spacing w:line="380" w:lineRule="atLeast"/>
      <w:jc w:val="left"/>
    </w:pPr>
    <w:rPr>
      <w:rFonts w:ascii="Helvetica Neue" w:hAnsi="Helvetica Neue" w:eastAsia="Helvetica Neue"/>
      <w:color w:val="000000"/>
      <w:kern w:val="0"/>
      <w:sz w:val="26"/>
      <w:szCs w:val="2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2021-04-29T01:24:00Z</dcterms:created>
  <dc:creator>Administrator</dc:creator>
  <cp:lastModifiedBy> Martin</cp:lastModifiedBy>
  <dcterms:modified xsi:type="dcterms:W3CDTF">2021-04-30T03:35:07Z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1E02C655BACF44648510D2563BAB9DA1</vt:lpwstr>
  </property>
</Properties>
</file>